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21484" w:rsidRPr="006218D5" w:rsidRDefault="006218D5" w:rsidP="00F3293F">
      <w:pPr>
        <w:pStyle w:val="Sinespaciado"/>
        <w:jc w:val="center"/>
        <w:rPr>
          <w:rFonts w:ascii="Arial" w:hAnsi="Arial" w:cs="Arial"/>
          <w:b/>
          <w:sz w:val="36"/>
          <w:szCs w:val="24"/>
          <w:lang w:val="es-ES_tradnl"/>
        </w:rPr>
      </w:pPr>
      <w:r w:rsidRPr="006218D5">
        <w:rPr>
          <w:rFonts w:ascii="Arial" w:hAnsi="Arial" w:cs="Arial"/>
          <w:b/>
          <w:sz w:val="28"/>
        </w:rPr>
        <w:t>Histología</w:t>
      </w:r>
    </w:p>
    <w:p w:rsidR="00F3293F" w:rsidRDefault="00F3293F" w:rsidP="00F3293F">
      <w:pPr>
        <w:pStyle w:val="Sinespaciado"/>
        <w:jc w:val="center"/>
        <w:rPr>
          <w:rFonts w:ascii="Arial" w:hAnsi="Arial" w:cs="Arial"/>
          <w:lang w:val="es-ES_tradnl"/>
        </w:rPr>
      </w:pPr>
    </w:p>
    <w:p w:rsidR="006F131A" w:rsidRDefault="006F131A" w:rsidP="00DF08BF">
      <w:pPr>
        <w:pStyle w:val="Sinespaciado"/>
        <w:rPr>
          <w:rFonts w:ascii="Arial" w:hAnsi="Arial" w:cs="Arial"/>
          <w:b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Fundamentos</w:t>
      </w:r>
      <w:r w:rsidRPr="006F131A">
        <w:rPr>
          <w:rFonts w:ascii="Arial" w:hAnsi="Arial" w:cs="Arial"/>
          <w:b/>
          <w:lang w:val="es-ES_tradnl"/>
        </w:rPr>
        <w:t xml:space="preserve">: </w:t>
      </w:r>
    </w:p>
    <w:p w:rsidR="00F3293F" w:rsidRPr="006F131A" w:rsidRDefault="00F3293F" w:rsidP="00DF08BF">
      <w:pPr>
        <w:pStyle w:val="Sinespaciado"/>
        <w:rPr>
          <w:rFonts w:ascii="Arial" w:hAnsi="Arial" w:cs="Arial"/>
          <w:b/>
          <w:lang w:val="es-ES_tradnl"/>
        </w:rPr>
      </w:pPr>
    </w:p>
    <w:p w:rsidR="00DA25AD" w:rsidRDefault="006218D5" w:rsidP="006218D5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6218D5">
        <w:rPr>
          <w:rFonts w:ascii="Arial" w:hAnsi="Arial" w:cs="Arial"/>
          <w:lang w:val="es-ES_tradnl"/>
        </w:rPr>
        <w:t xml:space="preserve">La Histología es una de las materias troncales en lo que respecta a las carreras relacionadas con la salud. Se encarga del estudio de los tejidos y las células. A través de su estudio, el alumno podrá comprender acerca del funcionamiento de las células en relación a los órganos que conforman y entender </w:t>
      </w:r>
      <w:r w:rsidR="00424FFE" w:rsidRPr="006218D5">
        <w:rPr>
          <w:rFonts w:ascii="Arial" w:hAnsi="Arial" w:cs="Arial"/>
          <w:lang w:val="es-ES_tradnl"/>
        </w:rPr>
        <w:t>así</w:t>
      </w:r>
      <w:r w:rsidRPr="006218D5">
        <w:rPr>
          <w:rFonts w:ascii="Arial" w:hAnsi="Arial" w:cs="Arial"/>
          <w:lang w:val="es-ES_tradnl"/>
        </w:rPr>
        <w:t xml:space="preserve"> procesos </w:t>
      </w:r>
      <w:proofErr w:type="spellStart"/>
      <w:r w:rsidRPr="006218D5">
        <w:rPr>
          <w:rFonts w:ascii="Arial" w:hAnsi="Arial" w:cs="Arial"/>
          <w:lang w:val="es-ES_tradnl"/>
        </w:rPr>
        <w:t>histofisiologicos</w:t>
      </w:r>
      <w:proofErr w:type="spellEnd"/>
      <w:r w:rsidRPr="006218D5">
        <w:rPr>
          <w:rFonts w:ascii="Arial" w:hAnsi="Arial" w:cs="Arial"/>
          <w:lang w:val="es-ES_tradnl"/>
        </w:rPr>
        <w:t xml:space="preserve"> del cuerpo humano. Es fundamental poder adquirir herramientas para la observación, </w:t>
      </w:r>
      <w:proofErr w:type="gramStart"/>
      <w:r w:rsidRPr="006218D5">
        <w:rPr>
          <w:rFonts w:ascii="Arial" w:hAnsi="Arial" w:cs="Arial"/>
          <w:lang w:val="es-ES_tradnl"/>
        </w:rPr>
        <w:t>descripción  correcta de preparados  histológico</w:t>
      </w:r>
      <w:proofErr w:type="gramEnd"/>
      <w:r w:rsidRPr="006218D5">
        <w:rPr>
          <w:rFonts w:ascii="Arial" w:hAnsi="Arial" w:cs="Arial"/>
          <w:lang w:val="es-ES_tradnl"/>
        </w:rPr>
        <w:t xml:space="preserve"> al microscopio. El objetivo fundamental de la asignatura consiste en conducir al alumno a comprender la </w:t>
      </w:r>
      <w:proofErr w:type="spellStart"/>
      <w:r w:rsidRPr="006218D5">
        <w:rPr>
          <w:rFonts w:ascii="Arial" w:hAnsi="Arial" w:cs="Arial"/>
          <w:lang w:val="es-ES_tradnl"/>
        </w:rPr>
        <w:t>microanatomia</w:t>
      </w:r>
      <w:proofErr w:type="spellEnd"/>
      <w:r w:rsidRPr="006218D5">
        <w:rPr>
          <w:rFonts w:ascii="Arial" w:hAnsi="Arial" w:cs="Arial"/>
          <w:lang w:val="es-ES_tradnl"/>
        </w:rPr>
        <w:t xml:space="preserve"> de las células, los tejidos y los órganos y a correlacionar la estructura con la función.</w:t>
      </w: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27EC2" w:rsidRDefault="00DA25AD" w:rsidP="00DF08BF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827EC2">
        <w:rPr>
          <w:rFonts w:ascii="Arial" w:hAnsi="Arial" w:cs="Arial"/>
          <w:b/>
          <w:lang w:val="es-ES_tradnl"/>
        </w:rPr>
        <w:t>Que el alumno:</w:t>
      </w:r>
    </w:p>
    <w:p w:rsidR="00424FFE" w:rsidRPr="00424FFE" w:rsidRDefault="00424FFE" w:rsidP="00424FF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Cs/>
          <w:spacing w:val="-3"/>
          <w:sz w:val="22"/>
          <w:lang w:val="es-ES_tradnl" w:eastAsia="ar-SA"/>
        </w:rPr>
      </w:pPr>
      <w:r w:rsidRPr="00424FFE">
        <w:rPr>
          <w:rFonts w:ascii="Arial" w:hAnsi="Arial" w:cs="Arial"/>
          <w:iCs/>
          <w:spacing w:val="-3"/>
          <w:sz w:val="22"/>
          <w:lang w:val="es-ES_tradnl" w:eastAsia="ar-SA"/>
        </w:rPr>
        <w:t xml:space="preserve">adquiera herramientas y habilidades para interpretar, pensar y entender los conceptos básicos de la materia que se desarrollan en cada clase. </w:t>
      </w:r>
    </w:p>
    <w:p w:rsidR="00424FFE" w:rsidRPr="00424FFE" w:rsidRDefault="00424FFE" w:rsidP="00424FF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iCs/>
          <w:spacing w:val="-3"/>
          <w:sz w:val="22"/>
          <w:lang w:val="es-ES_tradnl" w:eastAsia="ar-SA"/>
        </w:rPr>
      </w:pPr>
      <w:r w:rsidRPr="00424FFE">
        <w:rPr>
          <w:rFonts w:ascii="Arial" w:hAnsi="Arial" w:cs="Arial"/>
          <w:iCs/>
          <w:spacing w:val="-3"/>
          <w:sz w:val="22"/>
          <w:lang w:val="es-ES_tradnl" w:eastAsia="ar-SA"/>
        </w:rPr>
        <w:t>Que logre definir y clasificar los diferentes tejidos que conforman órganos, así como poder describir al microscopio óptico, células y tejidos.</w:t>
      </w:r>
    </w:p>
    <w:p w:rsidR="00721484" w:rsidRDefault="00721484" w:rsidP="00986BC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Default="00721484" w:rsidP="00986BCE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F3293F" w:rsidRPr="00F3293F" w:rsidRDefault="00F3293F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  <w:t>Introducción a la Histología. Microscopía - Técnica histológica</w:t>
      </w: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. Introducción a Tejidos básicos. </w:t>
      </w:r>
      <w:r w:rsidRPr="0083183D"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  <w:t>Tejido epitelial de revestimiento y glandular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Descripción de técnica histológica de rutina con hematoxilina y eosina. Características de Microscopio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Optico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Concepto de tejidos. Tipos principales de tejidos que constituyen el organismo humano.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Concepto de epitelio. Características. Epitelios de revestimiento y epitelios glandulares. Ejemplos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Epitelios de revestimiento: clasificación morfológica, estructura general.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Concepto de glándula. Características y clasificación de las glándulas de acuerdo a criterios múltiples: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uni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o multicelulares; endocrinas,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exócrinas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con conducto o sin conducto; simples o compuestas; tubulares,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acinares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 alveolares o combinadas;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merócrinas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holócrinas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o "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apócrinas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"; serosas, mucosas o mixtas. 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5C723B">
      <w:pPr>
        <w:widowControl w:val="0"/>
        <w:spacing w:line="276" w:lineRule="auto"/>
        <w:outlineLvl w:val="0"/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  <w:lastRenderedPageBreak/>
        <w:t>Tejido conectivo no especializado. Tejido conectivo óseo, cartilaginoso y adiposo.</w:t>
      </w:r>
    </w:p>
    <w:p w:rsidR="00424FFE" w:rsidRPr="0083183D" w:rsidRDefault="00424FFE" w:rsidP="005C723B">
      <w:pPr>
        <w:widowControl w:val="0"/>
        <w:spacing w:line="276" w:lineRule="auto"/>
        <w:outlineLvl w:val="0"/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Características generales del tejido conectivo. Concepto de parénquima y de estroma. 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Matriz extracelular del 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conectivo(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MEC): componentes fibrilares y sustancia fundamental o matriz amorfa. Tipos principales de colágeno y su distribución.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Las células en el tejido conectivo: células residentes/fijas  y células migrantes/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moviles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Características, descripción y funciones.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El cartílago como variedad especializada de tejido conectivo. Componentes celulares y extracelulares. Tipos de cartílago y su distribución en el organismo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..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Condrogénesis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crecimiento del cartílago</w:t>
      </w:r>
      <w:r w:rsidRPr="0083183D">
        <w:rPr>
          <w:rFonts w:ascii="Arial" w:hAnsi="Arial" w:cs="Arial"/>
          <w:bCs/>
          <w:iCs/>
          <w:spacing w:val="-3"/>
          <w:sz w:val="22"/>
          <w:szCs w:val="22"/>
          <w:lang w:val="es-ES_tradnl" w:eastAsia="ar-SA"/>
        </w:rPr>
        <w:t>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 Estructura macroscópica de los huesos: hueso compacto y hueso esponjoso.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El hueso como variedad especializada de tejido conectivo. Componentes orgánicos e inorgánicos de la sustancia intercelular.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Histoarquitectura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ósea: estructura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laminillar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El hueso compacto: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osteones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(sistemas de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Havers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), sistemas circunferenciales y sistemas intersticiales; líneas de cemento. Lagunas y canalículos óseos. Periostio. Endostio.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Células del hueso: estructura, origen, localización y funciones de las células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osteoprogenitoras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osteoblastos,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osteocitos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osteoclastos.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</w:p>
    <w:p w:rsidR="00424FFE" w:rsidRPr="0083183D" w:rsidRDefault="00AE6861" w:rsidP="00424FFE">
      <w:pPr>
        <w:spacing w:line="276" w:lineRule="auto"/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  <w:t>Te</w:t>
      </w:r>
      <w:r w:rsidR="00424FFE" w:rsidRPr="0083183D">
        <w:rPr>
          <w:rFonts w:ascii="Arial" w:hAnsi="Arial" w:cs="Arial"/>
          <w:b/>
          <w:bCs/>
          <w:iCs/>
          <w:spacing w:val="-3"/>
          <w:sz w:val="22"/>
          <w:szCs w:val="22"/>
          <w:lang w:val="es-ES_tradnl" w:eastAsia="ar-SA"/>
        </w:rPr>
        <w:t>jido muscular y nervioso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Elementos constitutivos del músculo: células musculares y componente conectivo-vascular. Características generales del tejido muscular.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Tipos de músculo: liso, estriado cardíaco, estriado esquelético. Características de cada uno.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organización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histológica. Tejido conectivo en el músculo esquelético: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epimisio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perimisio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endomisio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Lámina externa.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Mecanismo de la contracción muscular. Sinapsis neuromuscular. Despolarización de la membrana. Tubo T. Retículo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sarcoplásmico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Mecanismo de deslizamiento.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 Principales características estructurales y funcionales del sistema nervioso. El sistema nervioso como tejido: neuronas y células de la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neuroglía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Sustancia gris y blanca: estructura de cada una.   Neuronas: soma y axón. Mielina. Características y descripción.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Células de la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neuroglía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: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astrocito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,oligodendrocitos</w:t>
      </w:r>
      <w:proofErr w:type="spellEnd"/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microgliocitos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Células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ependimarias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Descripción y función.  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Aparato digestivo. Glándulas anexas al tubo digestivo: </w:t>
      </w:r>
      <w:r w:rsidR="00AE6861"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Hígado</w:t>
      </w: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, páncreas, glándulas salivales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Organización histológica del tubo digestivo: mucosa,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submucosa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 muscular y peritoneo o adventicia. Caracteres generales de esas capas.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Esófago. Estructura histológica y funciones. 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Estómago. Epitelio de revestimiento y  glandular; Glándulas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corpo-fúndicas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; istmo, cuello y fondo.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Estructura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,y</w:t>
      </w:r>
      <w:proofErr w:type="spellEnd"/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funciones de las células que componen las glándulas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fúndicas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Intestino delgado: estructura histológica general. Mecanismos de amplificación de la superficie de absorción: pliegues, vellosidades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microvellosidades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Epitelio intestinal. Tipos celulares: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enterocitos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células caliciformes y células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enteroendócrinas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Criptas de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Lieberkühn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; células de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Paneth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Diferencias regionales histológicas y funcionales del intestino delgado: características del duodeno y del yeyuno-íleon. 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Colon. Diferencias generales con intestino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delgado.Organización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histológica del hígado humano. Cápsula. Estroma conectivo. Espacios portales o de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Kiernan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Parénquima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lastRenderedPageBreak/>
        <w:t>hepático. El lobulillo hepático clásico.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Aporte sanguíneo al hígado: sangre venosa portal y sangre arterial hepática. Circulación sanguínea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intrahepática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Distribución y ramificación de los vasos. Capilares sinusoides. Venas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centrolobulillares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suprahepáticas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El hepatocito. Su disposición en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trabéculas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; polaridad del hepatocito (polos biliar y vascular). Organización estructural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ultraestructural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del hepatocito en relación con las múltiples funciones que desempeña.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Glándulas salivales.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Parenquima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estroma.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Páncreas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exócrino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endócrino. Descripción.  Función.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 Piel. Aparato cardiovascular. Aparato respiratorio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Componentes del aparato respiratorio.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Tráquea .organización histológica. El epitelio respiratorio: tipos celulares.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Características de los bronquios extra e 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intrapulmonares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Bronquiolos; sus tipos y descripción. 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Alveolos. Células que  lo conforman.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Neumonocitos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I. Ubicación en la pared alveolar, características y función.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Neumonocitos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II. Características  y función. Membrana o barrera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hematoalveolar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: sus componentes.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>Componentes del aparato cardiovascular. Organización histológica en capas o túnicas concéntricas.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Macrovasculatura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: estructura de arterias y de venas. Tipos de arterias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..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Microvasculatura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: Arteriolas;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metaarteriolas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Capilares. Clasificación de los capilares según diferentes criterios: comunes y sinusoides; continuos, discontinuos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fenestrados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El concepto de barreras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hematotisulares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Vénulas.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Corazón: endocardio, miocardio y pericardio. 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Piel.Caracteres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generales de la piel. Su estructura: epidermis, dermis, hipodermis, anexos cutáneos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Sistema endocrino: </w:t>
      </w:r>
      <w:proofErr w:type="spellStart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Hipofisis</w:t>
      </w:r>
      <w:proofErr w:type="spellEnd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, tiroides, </w:t>
      </w:r>
      <w:proofErr w:type="spellStart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paratoroides</w:t>
      </w:r>
      <w:proofErr w:type="spellEnd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 xml:space="preserve">, páncreas, suprarrenal. Sistema </w:t>
      </w:r>
      <w:proofErr w:type="spellStart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linfatico</w:t>
      </w:r>
      <w:proofErr w:type="spellEnd"/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: Timo, Ganglio, Bazo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Caracteres generales del sistema endocrino.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Histofisiología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hipotálamo-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hipofisaria.Hipofisis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Estructura histológica de la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adenohipófisis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Tipos celulares y hormonas secretadas.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Neurohipófisis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Descripción.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Tiroides.Estructura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histológica.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Funcion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Células foliculares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parafoliculares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Glándula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suprarrenal.corteza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y medula. Zonas de la corteza y hormonas que secretan 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( glomerular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fasciculada y reticular). Médula suprarrenal. Estructura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histologica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Paratiroides .Páncreas 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Timo. Organización histológica. Corteza y médula. Funciones del timo.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Ganglio linfático: organización histológica. Corteza y médula. Senos linfáticos, folículos y cordones: estructura y tipos celulares. Folículos primarios y secundarios. Circulación linfática y sanguínea del ganglio; vasos de endotelio alto. Zona T dependiente del ganglio linfático.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Bazo: organización histológica. Pulpa blanca y pulpa roja. Componentes de cada una. Zonas T dependientes del bazo. Senos esplénicos y cordones de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Billroth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. 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</w:p>
    <w:p w:rsidR="00424FFE" w:rsidRPr="0083183D" w:rsidRDefault="00424FFE" w:rsidP="00424FFE">
      <w:pPr>
        <w:spacing w:line="276" w:lineRule="auto"/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b/>
          <w:iCs/>
          <w:spacing w:val="-3"/>
          <w:sz w:val="22"/>
          <w:szCs w:val="22"/>
          <w:lang w:val="es-ES_tradnl" w:eastAsia="ar-SA"/>
        </w:rPr>
        <w:t>Tejido sanguíneo. Medula ósea. Hematopoyesis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Sangre. Composición: plasma y elementos celulares (eritrocitos/glóbulos rojos, plaquetas/trombocitos y leucocitos/glóbulos blancos). Cifras normales de concentración y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lastRenderedPageBreak/>
        <w:t>proporción de los distintos componentes sanguíneos: hematocrito; cantidad de eritrocitos, leucocitos totales y plaquetas por mm3 de sangre; fórmula leucocitaria relativa.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Eritrocitos: caracteres morfológicos.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Citoesqueleto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asociado a la membrana. El contenido del eritrocito. Funciones.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Reticulocitos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  <w:t xml:space="preserve">Plaquetas: estructura y función. </w:t>
      </w: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  <w:proofErr w:type="spellStart"/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globulos</w:t>
      </w:r>
      <w:proofErr w:type="spellEnd"/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blancos. Clasificación.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Polimorfonucleares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(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neutrofilo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eosinofilo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basofilo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) y </w:t>
      </w:r>
      <w:proofErr w:type="spellStart"/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monomorfonucleares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(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monocitos, linfocitos). Descripción de cada célula al microscopio óptico y funciones.</w:t>
      </w:r>
    </w:p>
    <w:p w:rsidR="00424FFE" w:rsidRPr="0083183D" w:rsidRDefault="00424FFE" w:rsidP="00424FFE">
      <w:pPr>
        <w:spacing w:line="276" w:lineRule="auto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Medula ósea: localización. Tipos de médula. La organización histológica. Parénquima y estroma. Descripción.</w:t>
      </w:r>
    </w:p>
    <w:p w:rsidR="006B123B" w:rsidRPr="0083183D" w:rsidRDefault="006B123B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6B123B" w:rsidRPr="0083183D" w:rsidRDefault="006B123B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3183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83183D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83183D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3183D" w:rsidRDefault="00DA25AD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 w:rsidRPr="0083183D">
        <w:rPr>
          <w:rFonts w:ascii="Arial" w:hAnsi="Arial" w:cs="Arial"/>
          <w:lang w:val="es-ES_tradnl"/>
        </w:rPr>
        <w:t>Horas</w:t>
      </w:r>
      <w:r w:rsidR="0083183D">
        <w:rPr>
          <w:rFonts w:ascii="Arial" w:hAnsi="Arial" w:cs="Arial"/>
          <w:lang w:val="es-ES_tradnl"/>
        </w:rPr>
        <w:t xml:space="preserve"> cátedras teóricas: 60 hs.</w:t>
      </w:r>
    </w:p>
    <w:p w:rsidR="00DA25AD" w:rsidRPr="0083183D" w:rsidRDefault="00DA25AD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u w:val="single"/>
          <w:lang w:val="es-ES_tradnl"/>
        </w:rPr>
      </w:pPr>
      <w:r w:rsidRPr="0083183D">
        <w:rPr>
          <w:rFonts w:ascii="Arial" w:hAnsi="Arial" w:cs="Arial"/>
          <w:lang w:val="es-ES_tradnl"/>
        </w:rPr>
        <w:t>horas re</w:t>
      </w:r>
      <w:r w:rsidR="0083183D">
        <w:rPr>
          <w:rFonts w:ascii="Arial" w:hAnsi="Arial" w:cs="Arial"/>
          <w:lang w:val="es-ES_tradnl"/>
        </w:rPr>
        <w:t xml:space="preserve">loj prácticas </w:t>
      </w:r>
      <w:proofErr w:type="spellStart"/>
      <w:r w:rsidR="0083183D">
        <w:rPr>
          <w:rFonts w:ascii="Arial" w:hAnsi="Arial" w:cs="Arial"/>
          <w:lang w:val="es-ES_tradnl"/>
        </w:rPr>
        <w:t>profesionalizante</w:t>
      </w:r>
      <w:proofErr w:type="spellEnd"/>
      <w:r w:rsidR="0083183D">
        <w:rPr>
          <w:rFonts w:ascii="Arial" w:hAnsi="Arial" w:cs="Arial"/>
          <w:lang w:val="es-ES_tradnl"/>
        </w:rPr>
        <w:t>: 20 hs.</w:t>
      </w:r>
    </w:p>
    <w:p w:rsidR="00DA25AD" w:rsidRPr="0083183D" w:rsidRDefault="00DA25AD" w:rsidP="002A3AEF">
      <w:pPr>
        <w:pStyle w:val="Sinespaciado"/>
        <w:jc w:val="both"/>
        <w:rPr>
          <w:rFonts w:ascii="Arial" w:hAnsi="Arial" w:cs="Arial"/>
          <w:u w:val="single"/>
          <w:lang w:val="es-ES_tradnl"/>
        </w:rPr>
      </w:pPr>
    </w:p>
    <w:p w:rsidR="00583D10" w:rsidRPr="0083183D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Pr="0083183D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3183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83183D">
        <w:rPr>
          <w:rFonts w:ascii="Arial" w:hAnsi="Arial" w:cs="Arial"/>
          <w:b/>
          <w:u w:val="single"/>
          <w:lang w:val="es-ES_tradnl"/>
        </w:rPr>
        <w:t>Evaluación:</w:t>
      </w:r>
    </w:p>
    <w:p w:rsidR="00F3293F" w:rsidRPr="0083183D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 xml:space="preserve">Los alumnos serán evaluados a través de dos exámenes parciales (MODALIDAD ESCRITO) y un examen </w:t>
      </w:r>
      <w:proofErr w:type="gramStart"/>
      <w:r w:rsidRPr="0083183D">
        <w:rPr>
          <w:rFonts w:ascii="Arial" w:hAnsi="Arial" w:cs="Arial"/>
          <w:lang w:val="es-ES_tradnl"/>
        </w:rPr>
        <w:t>final(</w:t>
      </w:r>
      <w:proofErr w:type="gramEnd"/>
      <w:r w:rsidRPr="0083183D">
        <w:rPr>
          <w:rFonts w:ascii="Arial" w:hAnsi="Arial" w:cs="Arial"/>
          <w:lang w:val="es-ES_tradnl"/>
        </w:rPr>
        <w:t>MODALIDAD ESCRITO)</w:t>
      </w: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 xml:space="preserve">Los exámenes parciales constan de una evaluación del contenido teórico de la </w:t>
      </w:r>
      <w:proofErr w:type="spellStart"/>
      <w:r w:rsidRPr="0083183D">
        <w:rPr>
          <w:rFonts w:ascii="Arial" w:hAnsi="Arial" w:cs="Arial"/>
          <w:lang w:val="es-ES_tradnl"/>
        </w:rPr>
        <w:t>currícula</w:t>
      </w:r>
      <w:proofErr w:type="spellEnd"/>
      <w:r w:rsidRPr="0083183D">
        <w:rPr>
          <w:rFonts w:ascii="Arial" w:hAnsi="Arial" w:cs="Arial"/>
          <w:lang w:val="es-ES_tradnl"/>
        </w:rPr>
        <w:t xml:space="preserve"> y la nota mínima para su aprobación es 4(cuatro).</w:t>
      </w: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>El examen final consta de una evaluación del contenido teórico de toda la materia y la nota mínima para su aprobación es 4(cuatro).</w:t>
      </w: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 xml:space="preserve"> Aquellos alumnos que  no aprueban los exámenes parciales, deberán rendir la instancia de </w:t>
      </w:r>
      <w:proofErr w:type="spellStart"/>
      <w:r w:rsidRPr="0083183D">
        <w:rPr>
          <w:rFonts w:ascii="Arial" w:hAnsi="Arial" w:cs="Arial"/>
          <w:lang w:val="es-ES_tradnl"/>
        </w:rPr>
        <w:t>recuperatorio</w:t>
      </w:r>
      <w:proofErr w:type="spellEnd"/>
      <w:r w:rsidRPr="0083183D">
        <w:rPr>
          <w:rFonts w:ascii="Arial" w:hAnsi="Arial" w:cs="Arial"/>
          <w:lang w:val="es-ES_tradnl"/>
        </w:rPr>
        <w:t xml:space="preserve">. Existen dos fechas alternativas dentro de las cuales, el alumno deberá elegir una sola fecha ya que podrá rendir </w:t>
      </w:r>
      <w:proofErr w:type="spellStart"/>
      <w:r w:rsidRPr="0083183D">
        <w:rPr>
          <w:rFonts w:ascii="Arial" w:hAnsi="Arial" w:cs="Arial"/>
          <w:lang w:val="es-ES_tradnl"/>
        </w:rPr>
        <w:t>recuperatorio</w:t>
      </w:r>
      <w:proofErr w:type="spellEnd"/>
      <w:r w:rsidRPr="0083183D">
        <w:rPr>
          <w:rFonts w:ascii="Arial" w:hAnsi="Arial" w:cs="Arial"/>
          <w:lang w:val="es-ES_tradnl"/>
        </w:rPr>
        <w:t xml:space="preserve"> una sola vez. La modalidad de evaluación en la instancia de </w:t>
      </w:r>
      <w:proofErr w:type="spellStart"/>
      <w:r w:rsidRPr="0083183D">
        <w:rPr>
          <w:rFonts w:ascii="Arial" w:hAnsi="Arial" w:cs="Arial"/>
          <w:lang w:val="es-ES_tradnl"/>
        </w:rPr>
        <w:t>recuperatorio</w:t>
      </w:r>
      <w:proofErr w:type="spellEnd"/>
      <w:r w:rsidRPr="0083183D">
        <w:rPr>
          <w:rFonts w:ascii="Arial" w:hAnsi="Arial" w:cs="Arial"/>
          <w:lang w:val="es-ES_tradnl"/>
        </w:rPr>
        <w:t xml:space="preserve"> es ORAL. Aquellos alumnos que en la instancia de </w:t>
      </w:r>
      <w:proofErr w:type="spellStart"/>
      <w:r w:rsidRPr="0083183D">
        <w:rPr>
          <w:rFonts w:ascii="Arial" w:hAnsi="Arial" w:cs="Arial"/>
          <w:lang w:val="es-ES_tradnl"/>
        </w:rPr>
        <w:t>recuperatorio</w:t>
      </w:r>
      <w:proofErr w:type="spellEnd"/>
      <w:r w:rsidRPr="0083183D">
        <w:rPr>
          <w:rFonts w:ascii="Arial" w:hAnsi="Arial" w:cs="Arial"/>
          <w:lang w:val="es-ES_tradnl"/>
        </w:rPr>
        <w:t xml:space="preserve"> obtienen nota menor a 4(cuatro) pierden la condición de alumno regular. </w:t>
      </w: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 xml:space="preserve">Los alumnos que aprueban los dos exámenes parciales, deberán rendir un examen final. </w:t>
      </w:r>
    </w:p>
    <w:p w:rsidR="00424FFE" w:rsidRPr="0083183D" w:rsidRDefault="00424FFE" w:rsidP="00424FFE">
      <w:pPr>
        <w:pStyle w:val="Sinespaciado"/>
        <w:spacing w:line="276" w:lineRule="auto"/>
        <w:jc w:val="both"/>
        <w:rPr>
          <w:rFonts w:ascii="Arial" w:hAnsi="Arial" w:cs="Arial"/>
          <w:lang w:val="es-ES_tradnl"/>
        </w:rPr>
      </w:pPr>
      <w:r w:rsidRPr="0083183D">
        <w:rPr>
          <w:rFonts w:ascii="Arial" w:hAnsi="Arial" w:cs="Arial"/>
          <w:lang w:val="es-ES_tradnl"/>
        </w:rPr>
        <w:t xml:space="preserve">La nota final es el promedio entre los exámenes parciales y el final. </w:t>
      </w:r>
    </w:p>
    <w:p w:rsidR="00721484" w:rsidRPr="0083183D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3183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83183D">
        <w:rPr>
          <w:rFonts w:ascii="Arial" w:hAnsi="Arial" w:cs="Arial"/>
          <w:b/>
          <w:u w:val="single"/>
          <w:lang w:val="es-ES_tradnl"/>
        </w:rPr>
        <w:t>Bibliografía:</w:t>
      </w:r>
    </w:p>
    <w:p w:rsidR="00424FFE" w:rsidRPr="0083183D" w:rsidRDefault="00424FFE" w:rsidP="00424FFE">
      <w:pPr>
        <w:spacing w:before="120" w:after="120" w:line="360" w:lineRule="auto"/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  <w:t>Libros de texto:</w:t>
      </w:r>
    </w:p>
    <w:p w:rsidR="00424FFE" w:rsidRPr="0083183D" w:rsidRDefault="00424FFE" w:rsidP="005C723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Ross, M. H. y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Pawlina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W: Histología. Texto y Atlas color con Biología Celular y Molecular,  6a. Edición,  2012. Editorial Médica Panamericana. </w:t>
      </w:r>
    </w:p>
    <w:p w:rsidR="00424FFE" w:rsidRPr="0083183D" w:rsidRDefault="00424FFE" w:rsidP="005C723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Ross, M. 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H..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Histología. Texto y Atlas.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Wolters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Kluwer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7ª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Ed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 2015.</w:t>
      </w:r>
    </w:p>
    <w:p w:rsidR="00424FFE" w:rsidRPr="0083183D" w:rsidRDefault="00424FFE" w:rsidP="005C723B">
      <w:pPr>
        <w:pStyle w:val="Prrafodelista"/>
        <w:numPr>
          <w:ilvl w:val="0"/>
          <w:numId w:val="13"/>
        </w:numPr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Geneser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F;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Bruel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A.,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Christensen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EI.,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Tranum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-Jensen J.,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Qvortrup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K.</w:t>
      </w: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,:</w:t>
      </w:r>
      <w:proofErr w:type="gram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Histología.4ª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Ed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2015. Ed. Médica Panamericana</w:t>
      </w:r>
    </w:p>
    <w:p w:rsidR="00424FFE" w:rsidRPr="0083183D" w:rsidRDefault="00424FFE" w:rsidP="005C723B">
      <w:pPr>
        <w:pStyle w:val="Prrafodelista"/>
        <w:numPr>
          <w:ilvl w:val="0"/>
          <w:numId w:val="13"/>
        </w:numPr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Brusco, H.A., López, J.J.,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Loidl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C. F., Histología Médico-Práctica,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Ia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Ed. Junio 2014, Barcelona;  Editorial ELSEVIER </w:t>
      </w:r>
    </w:p>
    <w:p w:rsidR="00424FFE" w:rsidRDefault="00424FFE" w:rsidP="005C723B">
      <w:pPr>
        <w:pStyle w:val="NormalWeb"/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</w:pPr>
    </w:p>
    <w:p w:rsidR="0083183D" w:rsidRDefault="0083183D" w:rsidP="005C723B">
      <w:pPr>
        <w:pStyle w:val="NormalWeb"/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</w:pPr>
    </w:p>
    <w:p w:rsidR="0083183D" w:rsidRPr="0083183D" w:rsidRDefault="0083183D" w:rsidP="005C723B">
      <w:pPr>
        <w:pStyle w:val="NormalWeb"/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</w:pPr>
    </w:p>
    <w:p w:rsidR="00904598" w:rsidRPr="0083183D" w:rsidRDefault="00424FFE" w:rsidP="005C723B">
      <w:pPr>
        <w:pStyle w:val="NormalWeb"/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</w:pPr>
      <w:proofErr w:type="gramStart"/>
      <w:r w:rsidRPr="0083183D">
        <w:rPr>
          <w:rFonts w:ascii="Arial" w:hAnsi="Arial" w:cs="Arial"/>
          <w:iCs/>
          <w:spacing w:val="-3"/>
          <w:sz w:val="22"/>
          <w:szCs w:val="22"/>
          <w:u w:val="single"/>
          <w:lang w:val="es-ES_tradnl" w:eastAsia="ar-SA"/>
        </w:rPr>
        <w:lastRenderedPageBreak/>
        <w:t>Atlas :</w:t>
      </w:r>
      <w:proofErr w:type="gramEnd"/>
    </w:p>
    <w:p w:rsidR="00904598" w:rsidRPr="0083183D" w:rsidRDefault="00424FFE" w:rsidP="005C723B">
      <w:pPr>
        <w:pStyle w:val="NormalWeb"/>
        <w:widowControl w:val="0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Hib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, J: Histología de Di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Fiore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. Texto y Atlas, 2001 El Ateneo</w:t>
      </w:r>
    </w:p>
    <w:p w:rsidR="0083183D" w:rsidRDefault="00904598" w:rsidP="005C723B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Boya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Vegue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, Jesús: Atlas de Histología y Organografía Microscópica. 3ra Edición.2010. Editorial Médica Panamericana</w:t>
      </w:r>
    </w:p>
    <w:p w:rsidR="0083183D" w:rsidRDefault="0083183D" w:rsidP="005C723B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</w:pP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Geneser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F: Atlas de Histología (fotos), 1992. Ed. Médica Panamericana</w:t>
      </w:r>
    </w:p>
    <w:p w:rsidR="00F3293F" w:rsidRPr="00F3293F" w:rsidRDefault="0083183D" w:rsidP="005C723B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="Arial" w:hAnsi="Arial" w:cs="Arial"/>
          <w:b/>
          <w:u w:val="single"/>
          <w:lang w:val="es-ES_tradnl"/>
        </w:rPr>
      </w:pP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Gartner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L. y - </w:t>
      </w:r>
      <w:proofErr w:type="spellStart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>Hiatt</w:t>
      </w:r>
      <w:proofErr w:type="spellEnd"/>
      <w:r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t xml:space="preserve"> J. Atlas Color de Histología. 5a. Edición. 2011. Editorial Médica Panamericana.</w:t>
      </w:r>
      <w:r w:rsidR="00424FFE" w:rsidRPr="0083183D">
        <w:rPr>
          <w:rFonts w:ascii="Arial" w:hAnsi="Arial" w:cs="Arial"/>
          <w:iCs/>
          <w:spacing w:val="-3"/>
          <w:sz w:val="22"/>
          <w:szCs w:val="22"/>
          <w:lang w:val="es-ES_tradnl" w:eastAsia="ar-SA"/>
        </w:rPr>
        <w:br/>
      </w:r>
    </w:p>
    <w:sectPr w:rsidR="00F3293F" w:rsidRPr="00F3293F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B33" w:rsidRDefault="00521B33" w:rsidP="0004580F">
      <w:r>
        <w:separator/>
      </w:r>
    </w:p>
  </w:endnote>
  <w:endnote w:type="continuationSeparator" w:id="1">
    <w:p w:rsidR="00521B33" w:rsidRDefault="00521B33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B33" w:rsidRDefault="00521B33" w:rsidP="0004580F">
      <w:r>
        <w:separator/>
      </w:r>
    </w:p>
  </w:footnote>
  <w:footnote w:type="continuationSeparator" w:id="1">
    <w:p w:rsidR="00521B33" w:rsidRDefault="00521B33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121D"/>
    <w:multiLevelType w:val="hybridMultilevel"/>
    <w:tmpl w:val="50624F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98C"/>
    <w:multiLevelType w:val="hybridMultilevel"/>
    <w:tmpl w:val="AA2A9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4757C4"/>
    <w:multiLevelType w:val="hybridMultilevel"/>
    <w:tmpl w:val="9D568D96"/>
    <w:lvl w:ilvl="0" w:tplc="2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30245"/>
    <w:multiLevelType w:val="hybridMultilevel"/>
    <w:tmpl w:val="754A3736"/>
    <w:lvl w:ilvl="0" w:tplc="EFA07DF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44388"/>
    <w:multiLevelType w:val="hybridMultilevel"/>
    <w:tmpl w:val="EB7A5032"/>
    <w:lvl w:ilvl="0" w:tplc="EFA07DF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D70F0"/>
    <w:multiLevelType w:val="hybridMultilevel"/>
    <w:tmpl w:val="D656459C"/>
    <w:lvl w:ilvl="0" w:tplc="EFA07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649FB"/>
    <w:multiLevelType w:val="hybridMultilevel"/>
    <w:tmpl w:val="B82279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933D9"/>
    <w:multiLevelType w:val="hybridMultilevel"/>
    <w:tmpl w:val="81D435C2"/>
    <w:lvl w:ilvl="0" w:tplc="EFA07DF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8"/>
  </w:num>
  <w:num w:numId="5">
    <w:abstractNumId w:val="1"/>
  </w:num>
  <w:num w:numId="6">
    <w:abstractNumId w:val="3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2"/>
  </w:num>
  <w:num w:numId="16">
    <w:abstractNumId w:val="1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D60D9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0625E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24FFE"/>
    <w:rsid w:val="004340F4"/>
    <w:rsid w:val="0044185C"/>
    <w:rsid w:val="00454D6C"/>
    <w:rsid w:val="00457631"/>
    <w:rsid w:val="004904BF"/>
    <w:rsid w:val="004A47E0"/>
    <w:rsid w:val="004B32E8"/>
    <w:rsid w:val="004C5EF8"/>
    <w:rsid w:val="00521B33"/>
    <w:rsid w:val="00534FC5"/>
    <w:rsid w:val="00583D10"/>
    <w:rsid w:val="005C723B"/>
    <w:rsid w:val="005D497A"/>
    <w:rsid w:val="0061012D"/>
    <w:rsid w:val="00611AED"/>
    <w:rsid w:val="00612317"/>
    <w:rsid w:val="006218D5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183D"/>
    <w:rsid w:val="008352D4"/>
    <w:rsid w:val="00845AE8"/>
    <w:rsid w:val="008653CE"/>
    <w:rsid w:val="00880FB3"/>
    <w:rsid w:val="00896586"/>
    <w:rsid w:val="008C1766"/>
    <w:rsid w:val="008C3E5D"/>
    <w:rsid w:val="008F67FF"/>
    <w:rsid w:val="00904598"/>
    <w:rsid w:val="00920175"/>
    <w:rsid w:val="009227FF"/>
    <w:rsid w:val="0094283B"/>
    <w:rsid w:val="00947C88"/>
    <w:rsid w:val="00957E1C"/>
    <w:rsid w:val="00986BCE"/>
    <w:rsid w:val="00994DFE"/>
    <w:rsid w:val="009A68D4"/>
    <w:rsid w:val="009B224D"/>
    <w:rsid w:val="009E4DC3"/>
    <w:rsid w:val="009F1DB1"/>
    <w:rsid w:val="00A1075C"/>
    <w:rsid w:val="00A42A4A"/>
    <w:rsid w:val="00A679F1"/>
    <w:rsid w:val="00A909F9"/>
    <w:rsid w:val="00AA4E9E"/>
    <w:rsid w:val="00AD739E"/>
    <w:rsid w:val="00AE6861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64B8"/>
    <w:rsid w:val="00C43CF2"/>
    <w:rsid w:val="00C442F2"/>
    <w:rsid w:val="00CB64F8"/>
    <w:rsid w:val="00CC06CB"/>
    <w:rsid w:val="00CC5C68"/>
    <w:rsid w:val="00CC7F8D"/>
    <w:rsid w:val="00CE2EE0"/>
    <w:rsid w:val="00CE4008"/>
    <w:rsid w:val="00D03DFD"/>
    <w:rsid w:val="00D07B41"/>
    <w:rsid w:val="00D259F0"/>
    <w:rsid w:val="00D27B60"/>
    <w:rsid w:val="00D50CBE"/>
    <w:rsid w:val="00D66E42"/>
    <w:rsid w:val="00D83927"/>
    <w:rsid w:val="00DA25AD"/>
    <w:rsid w:val="00DA2F7A"/>
    <w:rsid w:val="00DB112B"/>
    <w:rsid w:val="00DB5DF7"/>
    <w:rsid w:val="00DD6326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424F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4FFE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5DD7-9771-4B87-A246-EBA8E87D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1358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5</cp:revision>
  <cp:lastPrinted>2018-06-12T11:59:00Z</cp:lastPrinted>
  <dcterms:created xsi:type="dcterms:W3CDTF">2018-04-12T12:01:00Z</dcterms:created>
  <dcterms:modified xsi:type="dcterms:W3CDTF">2018-06-12T11:59:00Z</dcterms:modified>
</cp:coreProperties>
</file>