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Pr="00CB7A1F" w:rsidRDefault="00CB7A1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B7A1F">
        <w:rPr>
          <w:rFonts w:ascii="Arial" w:hAnsi="Arial" w:cs="Arial"/>
          <w:b/>
          <w:sz w:val="24"/>
          <w:szCs w:val="24"/>
          <w:lang w:val="es-AR"/>
        </w:rPr>
        <w:t>2</w:t>
      </w:r>
      <w:r w:rsidR="000E1E27">
        <w:rPr>
          <w:rFonts w:ascii="Arial" w:hAnsi="Arial" w:cs="Arial"/>
          <w:b/>
          <w:sz w:val="24"/>
          <w:szCs w:val="24"/>
          <w:lang w:val="es-AR"/>
        </w:rPr>
        <w:t>03</w:t>
      </w:r>
      <w:r>
        <w:rPr>
          <w:rFonts w:ascii="Arial" w:hAnsi="Arial" w:cs="Arial"/>
          <w:b/>
          <w:sz w:val="24"/>
          <w:szCs w:val="24"/>
          <w:lang w:val="es-AR"/>
        </w:rPr>
        <w:t>-</w:t>
      </w:r>
      <w:r w:rsidRPr="00CB7A1F">
        <w:rPr>
          <w:rFonts w:ascii="Arial" w:hAnsi="Arial" w:cs="Arial"/>
          <w:b/>
          <w:sz w:val="24"/>
          <w:szCs w:val="24"/>
          <w:lang w:val="es-AR"/>
        </w:rPr>
        <w:t xml:space="preserve">   </w:t>
      </w:r>
      <w:r w:rsidR="000E1E27">
        <w:rPr>
          <w:rFonts w:ascii="Arial" w:hAnsi="Arial" w:cs="Arial"/>
          <w:b/>
          <w:sz w:val="24"/>
          <w:szCs w:val="24"/>
          <w:lang w:val="es-AR"/>
        </w:rPr>
        <w:t xml:space="preserve">Salud </w:t>
      </w:r>
      <w:r w:rsidR="00A04822">
        <w:rPr>
          <w:rFonts w:ascii="Arial" w:hAnsi="Arial" w:cs="Arial"/>
          <w:b/>
          <w:sz w:val="24"/>
          <w:szCs w:val="24"/>
          <w:lang w:val="es-AR"/>
        </w:rPr>
        <w:t>Pública</w:t>
      </w:r>
      <w:r w:rsidR="000E1E27"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A04822" w:rsidRDefault="00A04822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asignatura Salud Pública, propone introducir a los estudiantes en los planteos básicos de la Salud Pública, brindando conocimientos y herramientas que les permitan analizar interpretar críticamente la realidad socio-sanitaria argentina y conocer las herramientas existentes para su mejor tratamiento, situando así al futuro integrante del equipo de salud dentro de su perspectiva.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Salud Pública es la disciplina que estudia la Salud en su dimensión colectiva, buscando  conocer la distribución y frecuencia de los determinantes del proceso salud – enfermedad atención - impacto y los modos de intervención más eficientes, eficaces y de mayor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impacto, tendientes a elevar la esperanza de vida en salud de la población con equidad y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universalidad.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En ese sentido los objetivos de la presente propuesta son coincidentes con el plan de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estudios de la Tecnicatura en Hemoterapia e Inmunohematología, que expresa la necesidad de formar “profesionales de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la salud con un fuerte compromiso de cara a la sociedad; con espíritu crítico; capacidad de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adaptación a los cambios del entorno y del campo científico- tecnológico; y con sentido de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la responsabilidad como encargados de la promoción, mantenimiento y restauración de la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salud”.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Se ha desarrollado una matriz de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aprendizaje que supone abordar los problemas de salud como fenómenos individuales y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naturales, disociando su práctica del entramado de relaciones sociales en los que ésta se inserta, escindiendo así el fenómeno que observa de la realidad que lo produce o lo condiciona.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El proceso prevé utilizando a la epidemiología como principal herramienta, en el diagnóstico sobre las características de la población, los determinantes del proceso salud-enfermedad-atención, los patrones de </w:t>
      </w:r>
      <w:proofErr w:type="spellStart"/>
      <w:r w:rsidRPr="00A04822">
        <w:rPr>
          <w:rFonts w:ascii="Arial" w:hAnsi="Arial" w:cs="Arial"/>
          <w:sz w:val="22"/>
          <w:szCs w:val="22"/>
        </w:rPr>
        <w:t>morbimortalidad</w:t>
      </w:r>
      <w:proofErr w:type="spellEnd"/>
      <w:r w:rsidRPr="00A04822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su impacto social, de modo de visualizar las necesidades en el campo sanitario, así como incorporar conceptos básicos del Sistema de Salud y del hospital particularmente, su estructura y complejidad, la relación con los usuarios y el papel del equipo de salud en relación a la salud pública.</w:t>
      </w:r>
    </w:p>
    <w:p w:rsidR="00A04822" w:rsidRPr="00A04822" w:rsidRDefault="00A04822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A04822" w:rsidRDefault="00721484" w:rsidP="00A04822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A04822" w:rsidRDefault="00F3293F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A04822">
        <w:rPr>
          <w:rFonts w:ascii="Arial" w:hAnsi="Arial" w:cs="Arial"/>
          <w:b/>
          <w:lang w:val="es-ES_tradnl"/>
        </w:rPr>
        <w:t>Que el alumno</w:t>
      </w:r>
      <w:r w:rsidR="00B26BF6" w:rsidRPr="00A04822">
        <w:rPr>
          <w:rFonts w:ascii="Arial" w:hAnsi="Arial" w:cs="Arial"/>
          <w:b/>
          <w:lang w:val="es-ES_tradnl"/>
        </w:rPr>
        <w:t xml:space="preserve"> pueda</w:t>
      </w:r>
      <w:r w:rsidRPr="00A04822">
        <w:rPr>
          <w:rFonts w:ascii="Arial" w:hAnsi="Arial" w:cs="Arial"/>
          <w:b/>
          <w:lang w:val="es-ES_tradnl"/>
        </w:rPr>
        <w:t>:</w:t>
      </w:r>
    </w:p>
    <w:p w:rsidR="00A04822" w:rsidRPr="00A04822" w:rsidRDefault="00A04822" w:rsidP="00A04822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4822">
        <w:rPr>
          <w:rFonts w:ascii="Arial" w:hAnsi="Arial" w:cs="Arial"/>
          <w:b/>
          <w:sz w:val="22"/>
          <w:szCs w:val="22"/>
          <w:u w:val="single"/>
        </w:rPr>
        <w:t>En el área de la competencia: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4822" w:rsidRPr="00A04822" w:rsidRDefault="00A04822" w:rsidP="00A04822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Desarrollo de trabajos de campo a través de diferentes estrategias. El análisis de los resultados incorporando los conocimientos de la cursada en cuanto a metodología epidemiológica, demografía, condiciones de vida y  su relación como determinantes del proceso de salud-enfermedad-atención.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b/>
          <w:sz w:val="22"/>
          <w:szCs w:val="22"/>
          <w:u w:val="single"/>
        </w:rPr>
        <w:t>En el área del conocimiento</w:t>
      </w:r>
      <w:r w:rsidRPr="00A04822">
        <w:rPr>
          <w:rFonts w:ascii="Arial" w:hAnsi="Arial" w:cs="Arial"/>
          <w:sz w:val="22"/>
          <w:szCs w:val="22"/>
        </w:rPr>
        <w:t>: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Analizar de modo crítico la evolución histórica, el marco conceptual y los determinantes del proceso salud-enfermedad-atención-impacto.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Reconocer la importancia de la promoción y protección de la salud y la prevención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de la enfermedad.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Comprender y analizar la relación que existe entre la estructura poblacional, los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estilos y condiciones de vida, el ambiente, la transición demo-epidemiológica.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Identificar, reconocer, enunciar, construir e interpretar el significado de los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principales indicadores que se utilizan en la descripción y evaluación del proceso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salud – enfermedad – atención-impacto.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Comprender la importancia del método epidemiológico como herramienta principal de la investigación. Utilizar la epidemiologia para identificar en la comunidad los distintos grupos de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riesgo.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Analizar el sistema de salud argentino a la luz de los diferentes modelos de organización sanitaria, reconociendo sus características y los procesos históricos que condicionaron su desarrollo.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Reconocer los niveles de atención y la estrategia de APS. Reconocer la complejidad de la articulación entre los diferentes niveles de atención dentro del sistema de salud</w:t>
      </w:r>
    </w:p>
    <w:p w:rsidR="00A04822" w:rsidRPr="00A04822" w:rsidRDefault="00A04822" w:rsidP="00A04822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Reconocer el rol de la Hemoterapia dentro de la estructura sanitaria argentina y su comparación con el contexto mundial.</w:t>
      </w:r>
    </w:p>
    <w:p w:rsidR="00B26BF6" w:rsidRPr="00A04822" w:rsidRDefault="00B26BF6" w:rsidP="00A04822">
      <w:pPr>
        <w:pStyle w:val="normal0"/>
        <w:ind w:left="1440"/>
        <w:jc w:val="both"/>
      </w:pPr>
    </w:p>
    <w:p w:rsidR="00721484" w:rsidRPr="00A04822" w:rsidRDefault="00721484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b/>
          <w:u w:val="single"/>
          <w:lang w:val="es-ES_tradnl"/>
        </w:rPr>
        <w:t>Contenidos:</w:t>
      </w:r>
    </w:p>
    <w:p w:rsidR="00A04822" w:rsidRPr="00A04822" w:rsidRDefault="00A04822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UNIDAD I: Introducción al estudio de la salud pública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Proceso salud enfermedad atención: paradigmas, concepto, evolución histórica.</w:t>
      </w:r>
    </w:p>
    <w:p w:rsidR="00A04822" w:rsidRPr="00A04822" w:rsidRDefault="00A04822" w:rsidP="00A04822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A04822">
        <w:rPr>
          <w:rFonts w:ascii="Arial" w:hAnsi="Arial" w:cs="Arial"/>
        </w:rPr>
        <w:t>Evolución del proceso salud-enfermedad. Niveles de prevención. Medicina</w:t>
      </w:r>
      <w:r>
        <w:rPr>
          <w:rFonts w:ascii="Arial" w:hAnsi="Arial" w:cs="Arial"/>
        </w:rPr>
        <w:t xml:space="preserve"> </w:t>
      </w:r>
      <w:r w:rsidRPr="00A04822">
        <w:rPr>
          <w:rFonts w:ascii="Arial" w:hAnsi="Arial" w:cs="Arial"/>
        </w:rPr>
        <w:t>preventiva.</w:t>
      </w:r>
    </w:p>
    <w:p w:rsidR="00A04822" w:rsidRPr="005939E3" w:rsidRDefault="00A04822" w:rsidP="00A04822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939E3">
        <w:rPr>
          <w:rFonts w:ascii="Arial" w:hAnsi="Arial" w:cs="Arial"/>
        </w:rPr>
        <w:t>Salud pública, concepto, diferentes concepciones. Campos de acción de la Salud Pública.</w:t>
      </w:r>
    </w:p>
    <w:p w:rsidR="00A04822" w:rsidRPr="005939E3" w:rsidRDefault="00A04822" w:rsidP="00A04822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5939E3">
        <w:rPr>
          <w:rFonts w:ascii="Arial" w:hAnsi="Arial" w:cs="Arial"/>
        </w:rPr>
        <w:t xml:space="preserve">Demografía estática y dinámica: relación con la salud y la enfermedad, escenarios </w:t>
      </w:r>
      <w:r w:rsidR="005939E3">
        <w:rPr>
          <w:rFonts w:ascii="Arial" w:hAnsi="Arial" w:cs="Arial"/>
        </w:rPr>
        <w:t>f</w:t>
      </w:r>
      <w:r w:rsidRPr="005939E3">
        <w:rPr>
          <w:rFonts w:ascii="Arial" w:hAnsi="Arial" w:cs="Arial"/>
        </w:rPr>
        <w:t>uturos.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UNIDAD II: Principales determinantes del proceso salud-enfermedad-atención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 w:rsidR="005939E3">
        <w:rPr>
          <w:rFonts w:ascii="Arial" w:hAnsi="Arial" w:cs="Arial"/>
          <w:sz w:val="22"/>
          <w:szCs w:val="22"/>
        </w:rPr>
        <w:t>C</w:t>
      </w:r>
      <w:r w:rsidRPr="00A04822">
        <w:rPr>
          <w:rFonts w:ascii="Arial" w:hAnsi="Arial" w:cs="Arial"/>
          <w:sz w:val="22"/>
          <w:szCs w:val="22"/>
        </w:rPr>
        <w:t>ampo de Salud: fortalezas y debilidades del modelo. Condiciones de vida</w:t>
      </w:r>
      <w:r>
        <w:rPr>
          <w:rFonts w:ascii="Arial" w:hAnsi="Arial" w:cs="Arial"/>
          <w:sz w:val="22"/>
          <w:szCs w:val="22"/>
        </w:rPr>
        <w:t xml:space="preserve">: </w:t>
      </w:r>
      <w:r w:rsidRPr="00A04822">
        <w:rPr>
          <w:rFonts w:ascii="Arial" w:hAnsi="Arial" w:cs="Arial"/>
          <w:sz w:val="22"/>
          <w:szCs w:val="22"/>
        </w:rPr>
        <w:t>pobreza, indigencia y NBI. Indicadores de riqueza y distribución. La equidad en salud como meta de la Salud Pública.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 xml:space="preserve">Transición demográfica y epidemiológica: similitudes y diferencias en la evolución de la transición </w:t>
      </w:r>
      <w:proofErr w:type="spellStart"/>
      <w:r w:rsidRPr="00A04822">
        <w:rPr>
          <w:rFonts w:ascii="Arial" w:hAnsi="Arial" w:cs="Arial"/>
          <w:sz w:val="22"/>
          <w:szCs w:val="22"/>
        </w:rPr>
        <w:t>demoepidemiológica</w:t>
      </w:r>
      <w:proofErr w:type="spellEnd"/>
      <w:r w:rsidRPr="00A04822">
        <w:rPr>
          <w:rFonts w:ascii="Arial" w:hAnsi="Arial" w:cs="Arial"/>
          <w:sz w:val="22"/>
          <w:szCs w:val="22"/>
        </w:rPr>
        <w:t xml:space="preserve"> en el mundo, características de la transición latinoamericana y Argentina.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El medio ambiente y su impacto en la salud de las personas. Cambio climático.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 xml:space="preserve">Contaminación ambiental </w:t>
      </w:r>
    </w:p>
    <w:p w:rsid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9E3" w:rsidRDefault="005939E3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39E3" w:rsidRDefault="005939E3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lastRenderedPageBreak/>
        <w:t>Unidad III: La epidemiología como herramienta de la salud pública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A04822" w:rsidRDefault="00A04822" w:rsidP="00A04822">
      <w:pPr>
        <w:tabs>
          <w:tab w:val="left" w:pos="142"/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>Causalidad, concepto de riesgo, factor de riesgo, susceptibilidad y vulnerabilidad.</w:t>
      </w:r>
    </w:p>
    <w:p w:rsidR="00A04822" w:rsidRPr="00A04822" w:rsidRDefault="00A04822" w:rsidP="00A04822">
      <w:pPr>
        <w:tabs>
          <w:tab w:val="left" w:pos="142"/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04822">
        <w:rPr>
          <w:rFonts w:ascii="Arial" w:hAnsi="Arial" w:cs="Arial"/>
          <w:sz w:val="22"/>
          <w:szCs w:val="22"/>
        </w:rPr>
        <w:t>Determinantes de la salud.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>Estudio de brote. Tipos de epidemia. Estrategias de reducción de las epidemias.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 xml:space="preserve"> Sistemas de información en salud. Vigilancia epidemiológica. 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 xml:space="preserve"> Diseños de estudio epidemiológicos: tipos, similitudes, diferencias y ventajas.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Unidad IV: Análisis de información en salud de la República Argentina. 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A04822">
        <w:rPr>
          <w:rFonts w:ascii="Arial" w:hAnsi="Arial" w:cs="Arial"/>
          <w:sz w:val="22"/>
          <w:szCs w:val="22"/>
        </w:rPr>
        <w:t>morbimortalidad</w:t>
      </w:r>
      <w:proofErr w:type="spellEnd"/>
      <w:r w:rsidRPr="00A04822">
        <w:rPr>
          <w:rFonts w:ascii="Arial" w:hAnsi="Arial" w:cs="Arial"/>
          <w:sz w:val="22"/>
          <w:szCs w:val="22"/>
        </w:rPr>
        <w:t xml:space="preserve"> y la discapacidad en las diferentes etapas de la vida.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 w:rsidR="005939E3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Análisis de la morbilidad por causas transmisibles y no transmisibles en las diferentes edades de la vida. Interpretación y construcción de los principales sindicadores.</w:t>
      </w:r>
    </w:p>
    <w:p w:rsidR="00A04822" w:rsidRPr="00A04822" w:rsidRDefault="00A04822" w:rsidP="00A04822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-- Salud </w:t>
      </w:r>
      <w:proofErr w:type="gramStart"/>
      <w:r w:rsidRPr="00A04822">
        <w:rPr>
          <w:rFonts w:ascii="Arial" w:hAnsi="Arial" w:cs="Arial"/>
          <w:sz w:val="22"/>
          <w:szCs w:val="22"/>
        </w:rPr>
        <w:t>materno</w:t>
      </w:r>
      <w:proofErr w:type="gramEnd"/>
      <w:r w:rsidRPr="00A04822">
        <w:rPr>
          <w:rFonts w:ascii="Arial" w:hAnsi="Arial" w:cs="Arial"/>
          <w:sz w:val="22"/>
          <w:szCs w:val="22"/>
        </w:rPr>
        <w:t xml:space="preserve"> infantil. Relación con los determinantes del Proceso salud-enfermedad-atención. Interpretación y construcción de los principales indicadores.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Unidad V: Análisis del Sistema de salud en Nuestro país y la mirada de salud pública y hemoterapia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>Organización del sistema de Situación de Salud en Argentina</w:t>
      </w:r>
    </w:p>
    <w:p w:rsidR="00A04822" w:rsidRPr="00A04822" w:rsidRDefault="00A04822" w:rsidP="00A0482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>Hemoterapia y Salud Pública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A04822" w:rsidRDefault="00721484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Pr="00A04822" w:rsidRDefault="00DA25AD" w:rsidP="00A04822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lang w:val="es-ES_tradnl"/>
        </w:rPr>
        <w:t xml:space="preserve">Horas </w:t>
      </w:r>
      <w:r w:rsidR="0024521F">
        <w:rPr>
          <w:rFonts w:ascii="Arial" w:hAnsi="Arial" w:cs="Arial"/>
          <w:lang w:val="es-ES_tradnl"/>
        </w:rPr>
        <w:t xml:space="preserve"> 64</w:t>
      </w:r>
    </w:p>
    <w:p w:rsidR="00583D10" w:rsidRDefault="00A04822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 </w:t>
      </w:r>
    </w:p>
    <w:p w:rsidR="00A04822" w:rsidRPr="00A04822" w:rsidRDefault="00A04822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b/>
          <w:u w:val="single"/>
          <w:lang w:val="es-ES_tradnl"/>
        </w:rPr>
        <w:t>Evaluación:</w:t>
      </w:r>
    </w:p>
    <w:p w:rsidR="00F3293F" w:rsidRPr="00A04822" w:rsidRDefault="00F3293F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propuesta didáctica metodológica pondrá al servicio del proceso de enseñanza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aprendizaje un conjunto de técnicas que intentarán generar condiciones para que los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estudiantes puedan alcanzar los objetivos explicitados desde una perspectiva que los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involucre en la construcción del saber.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Para esto se contempla trabajar metodológicamente partiendo de problemáticas reales o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de aquellas que están planteadas en los trabajos prácticos, de modo que exista una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situación iniciadora que genere interés, necesidad de resolución e intervención del saber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 xml:space="preserve">sanitario. 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 xml:space="preserve">Se espera que la metodología propuesta habilite la problematización del proceso-atención, rompiendo con los esquemas explicativos </w:t>
      </w:r>
      <w:proofErr w:type="spellStart"/>
      <w:r w:rsidRPr="00A04822">
        <w:rPr>
          <w:rFonts w:ascii="Arial" w:hAnsi="Arial" w:cs="Arial"/>
          <w:sz w:val="22"/>
          <w:szCs w:val="22"/>
        </w:rPr>
        <w:t>unicausales</w:t>
      </w:r>
      <w:proofErr w:type="spellEnd"/>
      <w:r w:rsidRPr="00A04822">
        <w:rPr>
          <w:rFonts w:ascii="Arial" w:hAnsi="Arial" w:cs="Arial"/>
          <w:sz w:val="22"/>
          <w:szCs w:val="22"/>
        </w:rPr>
        <w:t>, al tiempo que facilite el abordaje que los estudiantes deben hacer del material bibliográfico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propuesto, generando también espacios de autonomía, reflexión y toma de decisiones</w:t>
      </w:r>
      <w:r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asimilables a las que deben tomarse en el ejercicio y asesoramiento profesional.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4822">
        <w:rPr>
          <w:rFonts w:ascii="Arial" w:hAnsi="Arial" w:cs="Arial"/>
          <w:b/>
          <w:sz w:val="22"/>
          <w:szCs w:val="22"/>
          <w:u w:val="single"/>
        </w:rPr>
        <w:t>Evaluación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evaluación contemplará dos instancias, una de aprobación de la cursada o regularidad</w:t>
      </w:r>
      <w:r w:rsidR="0024521F">
        <w:rPr>
          <w:rFonts w:ascii="Arial" w:hAnsi="Arial" w:cs="Arial"/>
          <w:sz w:val="22"/>
          <w:szCs w:val="22"/>
        </w:rPr>
        <w:t xml:space="preserve">  </w:t>
      </w:r>
      <w:r w:rsidRPr="00A04822">
        <w:rPr>
          <w:rFonts w:ascii="Arial" w:hAnsi="Arial" w:cs="Arial"/>
          <w:sz w:val="22"/>
          <w:szCs w:val="22"/>
        </w:rPr>
        <w:t>y otra de examen final o acreditación de la asignatura.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Para la primera será necesario contar con el 80 por ciento de asistencia a las clases, la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 xml:space="preserve">Resolución de los trabajos prácticos obligatorios de modo individual o grupal y la </w:t>
      </w:r>
      <w:r w:rsidRPr="00A04822">
        <w:rPr>
          <w:rFonts w:ascii="Arial" w:hAnsi="Arial" w:cs="Arial"/>
          <w:sz w:val="22"/>
          <w:szCs w:val="22"/>
        </w:rPr>
        <w:lastRenderedPageBreak/>
        <w:t>aprobación del ASIS. Esta instancia estará a cargo del Jefe de Trabajos Prácticos a cargo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de la comisión.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El examen final será del tipo múltiple opción, único para todos los estudiantes que hayan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cursado la asignatura. Para aprobar el mismo se deberán responder el 60 % de las  consignas de modo correcto.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Dicho examen se adaptará al proceso que los estudiantes hayan desarrollado a lo largo de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la cursada. En este sentido los puntos podrán estar conformados por preguntas basadas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04822">
        <w:rPr>
          <w:rFonts w:ascii="Arial" w:hAnsi="Arial" w:cs="Arial"/>
          <w:sz w:val="22"/>
          <w:szCs w:val="22"/>
        </w:rPr>
        <w:t>en</w:t>
      </w:r>
      <w:proofErr w:type="gramEnd"/>
      <w:r w:rsidRPr="00A04822">
        <w:rPr>
          <w:rFonts w:ascii="Arial" w:hAnsi="Arial" w:cs="Arial"/>
          <w:sz w:val="22"/>
          <w:szCs w:val="22"/>
        </w:rPr>
        <w:t xml:space="preserve"> problemas, gráficos o simplemente enunciados que deban ser respondidos a partir del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conocimiento o las herramientas que fueron desarrolladas en la cursada.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Aspectos administrativos: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regularidad se obtiene con la asistencia del 80% a los Trabajos Prácticos y la presentación y aprobación del trabajo final.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El examen final es de carácter obligatorio integrador con modalidad opción múltiple base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común. La aprobación nota 4 se obtiene con la aprobación el 60% de las preguntas del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examen.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Aquellos alumnos que hayan obtenido en el escrito Nota 3 tendrán derecho a examen oral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complementario.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4521F">
        <w:rPr>
          <w:rFonts w:ascii="Arial" w:hAnsi="Arial" w:cs="Arial"/>
          <w:sz w:val="22"/>
          <w:szCs w:val="22"/>
        </w:rPr>
        <w:t>Existirá de acuerdo a la comisión y decisión del equipo docente de realizar dos parciales que permitan en el caso de llegar entre ambos a un promedio de 7 (siete), den por aprobada la materia.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Los alumnos que no hayan sido regulares en la materia y se presenten a dar examen como Libres deberán aprobar una prueba escrita que contemplara actividades teórico prácticas y un examen oral. Para tener derecho al examen oral se debe haber aprobado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con nota 4 o más la instancia escrita Teórico Practica.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4822">
        <w:rPr>
          <w:rFonts w:ascii="Arial" w:hAnsi="Arial" w:cs="Arial"/>
          <w:sz w:val="22"/>
          <w:szCs w:val="22"/>
        </w:rPr>
        <w:t>La cátedra compartirá con los docentes un conjunto de documentos y herramientas partiendo de problemas y situaciones reales, propondrán el abordaje de los contenidos</w:t>
      </w:r>
    </w:p>
    <w:p w:rsidR="00A04822" w:rsidRPr="00A04822" w:rsidRDefault="00A04822" w:rsidP="00A0482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A04822">
        <w:rPr>
          <w:rFonts w:ascii="Arial" w:hAnsi="Arial" w:cs="Arial"/>
          <w:sz w:val="22"/>
          <w:szCs w:val="22"/>
        </w:rPr>
        <w:t>mínimos</w:t>
      </w:r>
      <w:proofErr w:type="gramEnd"/>
      <w:r w:rsidRPr="00A04822">
        <w:rPr>
          <w:rFonts w:ascii="Arial" w:hAnsi="Arial" w:cs="Arial"/>
          <w:sz w:val="22"/>
          <w:szCs w:val="22"/>
        </w:rPr>
        <w:t xml:space="preserve"> propuestos. Esta decisión metodológica intenta facilitar el desarrollo del proceso y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lograr cierta uniformidad no sólo en los contenidos que se abordarán, sino en la secuencia</w:t>
      </w:r>
      <w:r w:rsidR="0024521F">
        <w:rPr>
          <w:rFonts w:ascii="Arial" w:hAnsi="Arial" w:cs="Arial"/>
          <w:sz w:val="22"/>
          <w:szCs w:val="22"/>
        </w:rPr>
        <w:t xml:space="preserve"> </w:t>
      </w:r>
      <w:r w:rsidRPr="00A04822">
        <w:rPr>
          <w:rFonts w:ascii="Arial" w:hAnsi="Arial" w:cs="Arial"/>
          <w:sz w:val="22"/>
          <w:szCs w:val="22"/>
        </w:rPr>
        <w:t>propuesta.</w:t>
      </w:r>
    </w:p>
    <w:p w:rsidR="00A04822" w:rsidRPr="00A04822" w:rsidRDefault="00A04822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A04822" w:rsidRDefault="00721484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A04822" w:rsidRDefault="00DA25AD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A04822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A04822" w:rsidRDefault="00F3293F" w:rsidP="00A04822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A04822" w:rsidRDefault="00721484" w:rsidP="00A04822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A04822">
        <w:rPr>
          <w:rFonts w:ascii="Arial" w:hAnsi="Arial" w:cs="Arial"/>
          <w:b/>
          <w:lang w:val="es-ES_tradnl"/>
        </w:rPr>
        <w:t>Bibliografía</w:t>
      </w:r>
      <w:r w:rsidR="00DA25AD" w:rsidRPr="00A04822">
        <w:rPr>
          <w:rFonts w:ascii="Arial" w:hAnsi="Arial" w:cs="Arial"/>
          <w:b/>
          <w:lang w:val="es-ES_tradnl"/>
        </w:rPr>
        <w:t xml:space="preserve"> de lectura obligatoria:</w:t>
      </w:r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Demografía: </w:t>
      </w:r>
      <w:hyperlink r:id="rId8" w:tooltip="Escenarios Demográficos-Susana Torrado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Escenarios Demográficos-Susana Torrado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Determinantes de la Salud: </w:t>
      </w:r>
      <w:hyperlink r:id="rId9" w:tooltip="Determinantes Sociales de la Salud_OMS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Determinantes Sociales de la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Salud_OMS</w:t>
        </w:r>
        <w:proofErr w:type="spellEnd"/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Pobreza-Canastas Básicas: </w:t>
      </w:r>
      <w:hyperlink r:id="rId10" w:tooltip="Canastas Básicas_INDEC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Canastas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Básicas_INDEC</w:t>
        </w:r>
        <w:proofErr w:type="spellEnd"/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Epidemiología-Desarrollo Histórico: </w:t>
      </w:r>
      <w:hyperlink r:id="rId11" w:tooltip="desarrollo histórico de la epidemiología_López-Moreno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desarrollo histórico de la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epidemiología_López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-Moreno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Transición Epidemiológica: </w:t>
      </w:r>
      <w:hyperlink r:id="rId12" w:tooltip="Transición Epidemiológica en Argentina_Curto 2001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Transición Epidemiológica en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Argentina_Curto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 2001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Investigación de Brote: </w:t>
      </w:r>
      <w:hyperlink r:id="rId13" w:tooltip="Investigación de Brote_Ortiz 2004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Investigación de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Brote_Ortiz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 2004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Diseños de Estudios: </w:t>
      </w:r>
      <w:hyperlink r:id="rId14" w:tooltip="diseño de estudios epidemiológicos_Hernandez-Avila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diseño de estudios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epidemiológicos_Hernandez-Avila</w:t>
        </w:r>
        <w:proofErr w:type="spellEnd"/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lastRenderedPageBreak/>
        <w:t>Atención Primaria de la Salud: </w:t>
      </w:r>
      <w:hyperlink r:id="rId15" w:tooltip="APS-Declaración de Alma Ata_1978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APS-Declaración de Alma Ata_1978</w:t>
        </w:r>
      </w:hyperlink>
      <w:r w:rsidRPr="00453C28">
        <w:rPr>
          <w:rFonts w:ascii="Arial" w:hAnsi="Arial" w:cs="Arial"/>
          <w:color w:val="444444"/>
          <w:sz w:val="22"/>
          <w:szCs w:val="22"/>
        </w:rPr>
        <w:t> </w:t>
      </w:r>
      <w:hyperlink r:id="rId16" w:tooltip="APS-Renovación_OPS 2007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APS-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Renovación_OPS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 2007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Niveles de Prevención y Atención: </w:t>
      </w:r>
      <w:hyperlink r:id="rId17" w:tooltip="Niveles de Prevención y Atención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Niveles de Prevención y Atención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Mortalidad Materno-infantil: </w:t>
      </w:r>
      <w:hyperlink r:id="rId18" w:tooltip="Mortalidad Maternoinfantil 2003-2012 (páginas seleccionadas)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Mortalidad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Maternoinfantil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 2003-2012 (páginas seleccionadas)</w:t>
        </w:r>
      </w:hyperlink>
    </w:p>
    <w:p w:rsidR="00453C28" w:rsidRPr="00453C28" w:rsidRDefault="00453C28" w:rsidP="00453C2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44444"/>
          <w:sz w:val="22"/>
          <w:szCs w:val="22"/>
        </w:rPr>
      </w:pPr>
      <w:r w:rsidRPr="00453C28">
        <w:rPr>
          <w:rFonts w:ascii="Arial" w:hAnsi="Arial" w:cs="Arial"/>
          <w:color w:val="444444"/>
          <w:sz w:val="22"/>
          <w:szCs w:val="22"/>
        </w:rPr>
        <w:t>Sistema Sanitario Argentino: </w:t>
      </w:r>
      <w:hyperlink r:id="rId19" w:tooltip="Sistema de salud argentino_Bello 2011" w:history="1"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Sistema de salud </w:t>
        </w:r>
        <w:proofErr w:type="spellStart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>argentino_Bello</w:t>
        </w:r>
        <w:proofErr w:type="spellEnd"/>
        <w:r w:rsidRPr="00453C28">
          <w:rPr>
            <w:rStyle w:val="Hipervnculo"/>
            <w:rFonts w:ascii="Arial" w:hAnsi="Arial" w:cs="Arial"/>
            <w:color w:val="1185D7"/>
            <w:sz w:val="22"/>
            <w:szCs w:val="22"/>
          </w:rPr>
          <w:t xml:space="preserve"> 2011</w:t>
        </w:r>
      </w:hyperlink>
    </w:p>
    <w:p w:rsidR="00DA25AD" w:rsidRPr="00A04822" w:rsidRDefault="00DA25AD" w:rsidP="00453C28">
      <w:pPr>
        <w:pStyle w:val="normal0"/>
        <w:ind w:left="720"/>
        <w:jc w:val="both"/>
        <w:rPr>
          <w:b/>
        </w:rPr>
      </w:pPr>
    </w:p>
    <w:p w:rsidR="00721484" w:rsidRPr="00A04822" w:rsidRDefault="00721484" w:rsidP="00A04822">
      <w:pPr>
        <w:pStyle w:val="Sinespaciado"/>
        <w:jc w:val="both"/>
        <w:rPr>
          <w:rFonts w:ascii="Arial" w:hAnsi="Arial" w:cs="Arial"/>
          <w:b/>
        </w:rPr>
      </w:pPr>
    </w:p>
    <w:sectPr w:rsidR="00721484" w:rsidRPr="00A04822" w:rsidSect="00ED5D1E">
      <w:headerReference w:type="firs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3" w:rsidRDefault="00521B33" w:rsidP="0004580F">
      <w:r>
        <w:separator/>
      </w:r>
    </w:p>
  </w:endnote>
  <w:endnote w:type="continuationSeparator" w:id="1">
    <w:p w:rsidR="00521B33" w:rsidRDefault="00521B33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3" w:rsidRDefault="00521B33" w:rsidP="0004580F">
      <w:r>
        <w:separator/>
      </w:r>
    </w:p>
  </w:footnote>
  <w:footnote w:type="continuationSeparator" w:id="1">
    <w:p w:rsidR="00521B33" w:rsidRDefault="00521B33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713"/>
    <w:multiLevelType w:val="hybridMultilevel"/>
    <w:tmpl w:val="17662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F26"/>
    <w:multiLevelType w:val="hybridMultilevel"/>
    <w:tmpl w:val="59FC8A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4687"/>
    <w:multiLevelType w:val="hybridMultilevel"/>
    <w:tmpl w:val="D6E6F338"/>
    <w:lvl w:ilvl="0" w:tplc="09903E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65988"/>
    <w:multiLevelType w:val="multilevel"/>
    <w:tmpl w:val="1AAC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C3DB0"/>
    <w:multiLevelType w:val="hybridMultilevel"/>
    <w:tmpl w:val="27EE4B76"/>
    <w:lvl w:ilvl="0" w:tplc="09903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27E98"/>
    <w:multiLevelType w:val="hybridMultilevel"/>
    <w:tmpl w:val="CB6A4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8369E"/>
    <w:multiLevelType w:val="hybridMultilevel"/>
    <w:tmpl w:val="4DA64A72"/>
    <w:lvl w:ilvl="0" w:tplc="0DE2E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45A"/>
    <w:multiLevelType w:val="hybridMultilevel"/>
    <w:tmpl w:val="5AAE25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19"/>
  </w:num>
  <w:num w:numId="9">
    <w:abstractNumId w:val="0"/>
  </w:num>
  <w:num w:numId="10">
    <w:abstractNumId w:val="16"/>
  </w:num>
  <w:num w:numId="11">
    <w:abstractNumId w:val="11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4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1E27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4521F"/>
    <w:rsid w:val="002846BD"/>
    <w:rsid w:val="00295E33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3C28"/>
    <w:rsid w:val="00457631"/>
    <w:rsid w:val="004904BF"/>
    <w:rsid w:val="004A47E0"/>
    <w:rsid w:val="004B32E8"/>
    <w:rsid w:val="004C5EF8"/>
    <w:rsid w:val="00521B33"/>
    <w:rsid w:val="00534FC5"/>
    <w:rsid w:val="00583D10"/>
    <w:rsid w:val="005939E3"/>
    <w:rsid w:val="005D497A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B0BE8"/>
    <w:rsid w:val="008C1766"/>
    <w:rsid w:val="008C3E5D"/>
    <w:rsid w:val="008F67FF"/>
    <w:rsid w:val="00920175"/>
    <w:rsid w:val="009227FF"/>
    <w:rsid w:val="0094283B"/>
    <w:rsid w:val="00947C88"/>
    <w:rsid w:val="00957E1C"/>
    <w:rsid w:val="00986BCE"/>
    <w:rsid w:val="00994DFE"/>
    <w:rsid w:val="009A5174"/>
    <w:rsid w:val="009A68D4"/>
    <w:rsid w:val="009B224D"/>
    <w:rsid w:val="009E4DC3"/>
    <w:rsid w:val="009F1DB1"/>
    <w:rsid w:val="00A04822"/>
    <w:rsid w:val="00A1075C"/>
    <w:rsid w:val="00A42A4A"/>
    <w:rsid w:val="00A679F1"/>
    <w:rsid w:val="00A909F9"/>
    <w:rsid w:val="00AA4E9E"/>
    <w:rsid w:val="00AD739E"/>
    <w:rsid w:val="00B26BF6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B7A1F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77477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  <w:rsid w:val="00FF410B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customStyle="1" w:styleId="normal0">
    <w:name w:val="normal"/>
    <w:rsid w:val="00CB7A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7A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4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emoterapia.files.wordpress.com/2016/08/escenarios-demogrc3a1ficos-susana-torrado.pdf" TargetMode="External"/><Relationship Id="rId13" Type="http://schemas.openxmlformats.org/officeDocument/2006/relationships/hyperlink" Target="https://sphemoterapia.files.wordpress.com/2016/08/investigacic3b3n-de-brote_ortiz-2004.pdf" TargetMode="External"/><Relationship Id="rId18" Type="http://schemas.openxmlformats.org/officeDocument/2006/relationships/hyperlink" Target="https://sphemoterapia.files.wordpress.com/2016/08/mortalidad-maternoinfantil-2003-2012-pc3a1ginas-seleccionada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phemoterapia.files.wordpress.com/2016/08/transicic3b3n-epidemiolc3b3gica-en-argentina_curto-2001.pdf" TargetMode="External"/><Relationship Id="rId17" Type="http://schemas.openxmlformats.org/officeDocument/2006/relationships/hyperlink" Target="https://sphemoterapia.files.wordpress.com/2016/08/niveles-de-prevencic3b3n-y-atencic3b3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hemoterapia.files.wordpress.com/2016/08/aps-renovacic3b3n_ops-200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hemoterapia.files.wordpress.com/2016/08/desarrollo-histc3b3rico-de-la-epidemiologc3ada_lc3b3pez-moren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hemoterapia.files.wordpress.com/2016/08/aps-declaracic3b3n-de-alma-ata_1978.pd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sphemoterapia.files.wordpress.com/2016/08/canastas-bc3a1sicas_indec.pdf" TargetMode="External"/><Relationship Id="rId19" Type="http://schemas.openxmlformats.org/officeDocument/2006/relationships/hyperlink" Target="https://sphemoterapia.files.wordpress.com/2016/08/sistema-de-salud-argentino_bello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emoterapia.files.wordpress.com/2016/08/determinantes-sociales-de-la-salud_oms.pdf" TargetMode="External"/><Relationship Id="rId14" Type="http://schemas.openxmlformats.org/officeDocument/2006/relationships/hyperlink" Target="https://sphemoterapia.files.wordpress.com/2016/08/disec3b1o-de-estudios-epidemiolc3b3gicos_hernandez-avil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A49B-F866-47A7-8FF1-2668ECF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1459</Words>
  <Characters>10477</Characters>
  <Application>Microsoft Office Word</Application>
  <DocSecurity>0</DocSecurity>
  <Lines>87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6</cp:revision>
  <cp:lastPrinted>2018-06-12T11:57:00Z</cp:lastPrinted>
  <dcterms:created xsi:type="dcterms:W3CDTF">2018-05-31T13:01:00Z</dcterms:created>
  <dcterms:modified xsi:type="dcterms:W3CDTF">2018-06-12T11:57:00Z</dcterms:modified>
</cp:coreProperties>
</file>