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A" w:rsidRPr="00583D10" w:rsidRDefault="00F3293F" w:rsidP="002E41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 w:rsidR="00721484" w:rsidRPr="00721484">
        <w:rPr>
          <w:rFonts w:ascii="Arial" w:hAnsi="Arial" w:cs="Arial"/>
          <w:b/>
          <w:sz w:val="24"/>
        </w:rPr>
        <w:t>Hemoterapia e Inmunohematología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21484" w:rsidRPr="00583D10" w:rsidRDefault="00FA68A8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b/>
          <w:bCs/>
          <w:sz w:val="28"/>
          <w:szCs w:val="28"/>
          <w:lang w:val="es-AR"/>
        </w:rPr>
        <w:t>BANCO DE SANGRE</w:t>
      </w:r>
      <w:r w:rsidRPr="006D2203">
        <w:rPr>
          <w:rFonts w:ascii="Arial" w:hAnsi="Arial" w:cs="Arial"/>
          <w:color w:val="FF0000"/>
          <w:lang w:val="es-AR"/>
        </w:rPr>
        <w:t xml:space="preserve">         </w:t>
      </w:r>
      <w:r w:rsidRPr="005D35B3">
        <w:rPr>
          <w:i/>
          <w:sz w:val="20"/>
          <w:lang w:val="es-AR"/>
        </w:rPr>
        <w:t xml:space="preserve">                  </w:t>
      </w:r>
    </w:p>
    <w:p w:rsidR="00F3293F" w:rsidRDefault="00F3293F" w:rsidP="00F3293F">
      <w:pPr>
        <w:pStyle w:val="Sinespaciado"/>
        <w:jc w:val="center"/>
        <w:rPr>
          <w:rFonts w:ascii="Arial" w:hAnsi="Arial" w:cs="Arial"/>
          <w:lang w:val="es-ES_tradnl"/>
        </w:rPr>
      </w:pPr>
    </w:p>
    <w:p w:rsidR="006F131A" w:rsidRPr="00672DB6" w:rsidRDefault="006F131A" w:rsidP="00DF08BF">
      <w:pPr>
        <w:pStyle w:val="Sinespaciado"/>
        <w:rPr>
          <w:rFonts w:ascii="Arial" w:hAnsi="Arial" w:cs="Arial"/>
          <w:b/>
          <w:lang w:val="es-ES_tradnl"/>
        </w:rPr>
      </w:pPr>
      <w:r w:rsidRPr="00672DB6">
        <w:rPr>
          <w:rFonts w:ascii="Arial" w:hAnsi="Arial" w:cs="Arial"/>
          <w:b/>
          <w:u w:val="single"/>
          <w:lang w:val="es-ES_tradnl"/>
        </w:rPr>
        <w:t>Fundamentos</w:t>
      </w:r>
      <w:r w:rsidRPr="00672DB6">
        <w:rPr>
          <w:rFonts w:ascii="Arial" w:hAnsi="Arial" w:cs="Arial"/>
          <w:b/>
          <w:lang w:val="es-ES_tradnl"/>
        </w:rPr>
        <w:t xml:space="preserve">: </w:t>
      </w:r>
    </w:p>
    <w:p w:rsidR="00F3293F" w:rsidRPr="00672DB6" w:rsidRDefault="00F3293F" w:rsidP="00DF08BF">
      <w:pPr>
        <w:pStyle w:val="Sinespaciado"/>
        <w:rPr>
          <w:rFonts w:ascii="Arial" w:hAnsi="Arial" w:cs="Arial"/>
          <w:b/>
          <w:lang w:val="es-ES_tradnl"/>
        </w:rPr>
      </w:pPr>
    </w:p>
    <w:p w:rsidR="00672DB6" w:rsidRPr="00672DB6" w:rsidRDefault="00672DB6" w:rsidP="00672D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 xml:space="preserve">El Técnico Universitario en Hemoterapia e Inmunohematología es un profesional de la salud que, desde una formación centrada en el proceso tecnológico y comprometido socialmente con la actividad que realiza, participa en la gestión y en la atención de la salud, ejecutando procedimientos técnicos específicos en el campo de </w:t>
      </w:r>
      <w:smartTag w:uri="urn:schemas-microsoft-com:office:smarttags" w:element="PersonName">
        <w:smartTagPr>
          <w:attr w:name="ProductID" w:val="la Hemoterapia"/>
        </w:smartTagPr>
        <w:r w:rsidRPr="00672DB6">
          <w:rPr>
            <w:rFonts w:ascii="Arial" w:hAnsi="Arial" w:cs="Arial"/>
            <w:sz w:val="22"/>
            <w:szCs w:val="22"/>
          </w:rPr>
          <w:t>la Hemoterapia</w:t>
        </w:r>
      </w:smartTag>
      <w:r w:rsidRPr="00672DB6">
        <w:rPr>
          <w:rFonts w:ascii="Arial" w:hAnsi="Arial"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Inmunohematolog￭a"/>
        </w:smartTagPr>
        <w:r w:rsidRPr="00672DB6">
          <w:rPr>
            <w:rFonts w:ascii="Arial" w:hAnsi="Arial" w:cs="Arial"/>
            <w:sz w:val="22"/>
            <w:szCs w:val="22"/>
          </w:rPr>
          <w:t>la Inmunohematología</w:t>
        </w:r>
      </w:smartTag>
      <w:r w:rsidRPr="00672DB6">
        <w:rPr>
          <w:rFonts w:ascii="Arial" w:hAnsi="Arial" w:cs="Arial"/>
          <w:sz w:val="22"/>
          <w:szCs w:val="22"/>
        </w:rPr>
        <w:t xml:space="preserve"> y desarrollando competencias en lo referido a la promoción de la salud, procurando humanizar las prácticas de la especialidad desde el rol que desempeña y comprendiendo la importancia de su función en el sistema de salud.</w:t>
      </w:r>
    </w:p>
    <w:p w:rsidR="00672DB6" w:rsidRPr="00672DB6" w:rsidRDefault="00672DB6" w:rsidP="00672D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2DB6">
        <w:rPr>
          <w:rFonts w:ascii="Arial" w:hAnsi="Arial" w:cs="Arial"/>
          <w:color w:val="000000"/>
          <w:sz w:val="22"/>
          <w:szCs w:val="22"/>
        </w:rPr>
        <w:t xml:space="preserve">De acuerdo a las actividades que se desarrollan en el perfil profesional, el </w:t>
      </w:r>
      <w:r w:rsidRPr="00672DB6">
        <w:rPr>
          <w:rFonts w:ascii="Arial" w:hAnsi="Arial" w:cs="Arial"/>
          <w:sz w:val="22"/>
          <w:szCs w:val="22"/>
        </w:rPr>
        <w:t>Técnico Universitario en Hemoterapia e Inmunohematología</w:t>
      </w:r>
      <w:r w:rsidRPr="00672DB6">
        <w:rPr>
          <w:rFonts w:ascii="Arial" w:hAnsi="Arial" w:cs="Arial"/>
          <w:color w:val="000000"/>
          <w:sz w:val="22"/>
          <w:szCs w:val="22"/>
        </w:rPr>
        <w:t xml:space="preserve"> estará capacitado para desempeñarse en los tres procesos de la Hemoterapia: </w:t>
      </w:r>
      <w:proofErr w:type="spellStart"/>
      <w:r w:rsidRPr="00672DB6">
        <w:rPr>
          <w:rFonts w:ascii="Arial" w:hAnsi="Arial" w:cs="Arial"/>
          <w:color w:val="000000"/>
          <w:sz w:val="22"/>
          <w:szCs w:val="22"/>
        </w:rPr>
        <w:t>Hemodonación</w:t>
      </w:r>
      <w:proofErr w:type="spellEnd"/>
      <w:r w:rsidRPr="00672DB6">
        <w:rPr>
          <w:rFonts w:ascii="Arial" w:hAnsi="Arial" w:cs="Arial"/>
          <w:color w:val="000000"/>
          <w:sz w:val="22"/>
          <w:szCs w:val="22"/>
        </w:rPr>
        <w:t xml:space="preserve">, Calificación biológica y control </w:t>
      </w:r>
      <w:proofErr w:type="spellStart"/>
      <w:r w:rsidRPr="00672DB6">
        <w:rPr>
          <w:rFonts w:ascii="Arial" w:hAnsi="Arial" w:cs="Arial"/>
          <w:color w:val="000000"/>
          <w:sz w:val="22"/>
          <w:szCs w:val="22"/>
        </w:rPr>
        <w:t>inmunohematológico</w:t>
      </w:r>
      <w:proofErr w:type="spellEnd"/>
      <w:r w:rsidRPr="00672DB6">
        <w:rPr>
          <w:rFonts w:ascii="Arial" w:hAnsi="Arial" w:cs="Arial"/>
          <w:color w:val="000000"/>
          <w:sz w:val="22"/>
          <w:szCs w:val="22"/>
        </w:rPr>
        <w:t xml:space="preserve"> de los componentes y Terapia Transfusional.</w:t>
      </w:r>
    </w:p>
    <w:p w:rsidR="00672DB6" w:rsidRPr="00672DB6" w:rsidRDefault="00672DB6" w:rsidP="00672D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72DB6">
        <w:rPr>
          <w:rFonts w:ascii="Arial" w:hAnsi="Arial" w:cs="Arial"/>
          <w:color w:val="000000"/>
          <w:sz w:val="22"/>
          <w:szCs w:val="22"/>
        </w:rPr>
        <w:t>Particularmente  esta asignatura les brindará los conocimientos necesarios para desarrollar las actividades concernientes al primer proceso: Hemodonación, y en el segundo proceso: preparación de componentes sanguíneos, siempre teniendo en cuenta el control de procesos y de calidad necesario en cada etapa.</w:t>
      </w:r>
    </w:p>
    <w:p w:rsidR="00DA25AD" w:rsidRPr="00672DB6" w:rsidRDefault="00DA25AD" w:rsidP="00DF08BF">
      <w:pPr>
        <w:pStyle w:val="Sinespaciado"/>
        <w:rPr>
          <w:rFonts w:ascii="Arial" w:hAnsi="Arial" w:cs="Arial"/>
          <w:lang w:val="es-ES_tradnl"/>
        </w:rPr>
      </w:pPr>
    </w:p>
    <w:p w:rsidR="00DA25AD" w:rsidRPr="00672DB6" w:rsidRDefault="00DA25AD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672DB6">
        <w:rPr>
          <w:rFonts w:ascii="Arial" w:hAnsi="Arial" w:cs="Arial"/>
          <w:b/>
          <w:u w:val="single"/>
          <w:lang w:val="es-ES_tradnl"/>
        </w:rPr>
        <w:t>Objetivos generales</w:t>
      </w:r>
    </w:p>
    <w:p w:rsidR="00F3293F" w:rsidRPr="00672DB6" w:rsidRDefault="00F3293F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FA68A8" w:rsidRPr="00672DB6" w:rsidRDefault="00FA68A8" w:rsidP="00672DB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>Brindar todos los conocimientos teóricos y prácticos necesarios para desempeñar las actividades incluidas en el proceso de Hemodonación y en el de Preparación de componentes sanguíneos.</w:t>
      </w:r>
    </w:p>
    <w:p w:rsidR="00950BFC" w:rsidRDefault="00950BFC" w:rsidP="00FA68A8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FA68A8" w:rsidRPr="00672DB6" w:rsidRDefault="00FA68A8" w:rsidP="00FA68A8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672DB6">
        <w:rPr>
          <w:rFonts w:ascii="Arial" w:hAnsi="Arial" w:cs="Arial"/>
          <w:b/>
          <w:u w:val="single"/>
          <w:lang w:val="es-ES_tradnl"/>
        </w:rPr>
        <w:t>Objetivos Específicos</w:t>
      </w:r>
    </w:p>
    <w:p w:rsidR="00950BFC" w:rsidRDefault="00950BFC" w:rsidP="00672D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68A8" w:rsidRPr="00672DB6" w:rsidRDefault="00FA68A8" w:rsidP="00672D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>El alumno deberá ser capaz de</w:t>
      </w:r>
      <w:r w:rsidR="00AF4462">
        <w:rPr>
          <w:rFonts w:ascii="Arial" w:hAnsi="Arial" w:cs="Arial"/>
          <w:sz w:val="22"/>
          <w:szCs w:val="22"/>
        </w:rPr>
        <w:t xml:space="preserve"> conocer los aspectos asociados a la promoción de la donación voluntaria y habitual</w:t>
      </w:r>
      <w:r w:rsidRPr="00672DB6">
        <w:rPr>
          <w:rFonts w:ascii="Arial" w:hAnsi="Arial" w:cs="Arial"/>
          <w:sz w:val="22"/>
          <w:szCs w:val="22"/>
        </w:rPr>
        <w:t xml:space="preserve">: realizar la atención integral del donante de sangre, incluyendo la técnica de obtención de sangre, como así también la preparación de Concentrados </w:t>
      </w:r>
      <w:proofErr w:type="spellStart"/>
      <w:r w:rsidRPr="00672DB6">
        <w:rPr>
          <w:rFonts w:ascii="Arial" w:hAnsi="Arial" w:cs="Arial"/>
          <w:sz w:val="22"/>
          <w:szCs w:val="22"/>
        </w:rPr>
        <w:t>Plaquetarios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, Plasma, Concentrado de Glóbulos Rojos y </w:t>
      </w:r>
      <w:proofErr w:type="spellStart"/>
      <w:r w:rsidRPr="00672DB6">
        <w:rPr>
          <w:rFonts w:ascii="Arial" w:hAnsi="Arial" w:cs="Arial"/>
          <w:sz w:val="22"/>
          <w:szCs w:val="22"/>
        </w:rPr>
        <w:t>Crioprecipitados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 a partir de la unidad de sangre donada.</w:t>
      </w:r>
      <w:r w:rsidRPr="00672DB6">
        <w:rPr>
          <w:rFonts w:ascii="Arial" w:hAnsi="Arial" w:cs="Arial"/>
          <w:i/>
          <w:sz w:val="22"/>
          <w:szCs w:val="22"/>
        </w:rPr>
        <w:t xml:space="preserve"> </w:t>
      </w:r>
      <w:r w:rsidRPr="00672DB6">
        <w:rPr>
          <w:rFonts w:ascii="Arial" w:hAnsi="Arial" w:cs="Arial"/>
          <w:sz w:val="22"/>
          <w:szCs w:val="22"/>
        </w:rPr>
        <w:t xml:space="preserve">Asimismo, realizar la preparación de </w:t>
      </w:r>
      <w:proofErr w:type="spellStart"/>
      <w:r w:rsidRPr="00672DB6">
        <w:rPr>
          <w:rFonts w:ascii="Arial" w:hAnsi="Arial" w:cs="Arial"/>
          <w:sz w:val="22"/>
          <w:szCs w:val="22"/>
        </w:rPr>
        <w:t>hemocomponentes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 especiales, filtrados, irradiados y obtenidos por métodos automatizados de aféresis.</w:t>
      </w:r>
    </w:p>
    <w:p w:rsidR="00DA25AD" w:rsidRPr="00672DB6" w:rsidRDefault="00DA25AD" w:rsidP="00FA68A8">
      <w:pPr>
        <w:pStyle w:val="Sinespaciado"/>
        <w:ind w:left="360"/>
        <w:jc w:val="both"/>
        <w:rPr>
          <w:rFonts w:ascii="Arial" w:hAnsi="Arial" w:cs="Arial"/>
          <w:lang w:val="es-ES_tradnl"/>
        </w:rPr>
      </w:pPr>
    </w:p>
    <w:p w:rsidR="00721484" w:rsidRPr="00672DB6" w:rsidRDefault="00721484" w:rsidP="00986BCE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672DB6" w:rsidRDefault="00DA25AD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672DB6">
        <w:rPr>
          <w:rFonts w:ascii="Arial" w:hAnsi="Arial" w:cs="Arial"/>
          <w:b/>
          <w:u w:val="single"/>
          <w:lang w:val="es-ES_tradnl"/>
        </w:rPr>
        <w:t>Contenidos:</w:t>
      </w:r>
    </w:p>
    <w:p w:rsidR="00F3293F" w:rsidRPr="00672DB6" w:rsidRDefault="00F3293F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672DB6" w:rsidRP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 xml:space="preserve">-Hemodonación: Principios éticos de la </w:t>
      </w:r>
      <w:proofErr w:type="spellStart"/>
      <w:r w:rsidRPr="00672DB6">
        <w:rPr>
          <w:rFonts w:ascii="Arial" w:hAnsi="Arial" w:cs="Arial"/>
          <w:sz w:val="22"/>
          <w:szCs w:val="22"/>
        </w:rPr>
        <w:t>hemodonación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 y seguridad transfusional. Donantes voluntarios, altruistas y remunerados. Motivación y promoción de la </w:t>
      </w:r>
      <w:proofErr w:type="spellStart"/>
      <w:r w:rsidRPr="00672DB6">
        <w:rPr>
          <w:rFonts w:ascii="Arial" w:hAnsi="Arial" w:cs="Arial"/>
          <w:sz w:val="22"/>
          <w:szCs w:val="22"/>
        </w:rPr>
        <w:lastRenderedPageBreak/>
        <w:t>hemodonación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. Colectas de sangre. Registros. Control de calidad. Atención del dador de sangre. Selección: su aceptación o rechazo. Admisión. Documentos médico-administrativos. Examen físico, clínico. Informe previo a la donación. Autoexclusión. Extracción de sangre: técnica específica y toma de muestras para validación biológica. Cuidados antes, durante y después de la extracción. Efectos fisiológicos y complicaciones de la </w:t>
      </w:r>
      <w:proofErr w:type="spellStart"/>
      <w:r w:rsidRPr="00672DB6">
        <w:rPr>
          <w:rFonts w:ascii="Arial" w:hAnsi="Arial" w:cs="Arial"/>
          <w:sz w:val="22"/>
          <w:szCs w:val="22"/>
        </w:rPr>
        <w:t>hemodonación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. Conservación de la unidad de sangre obtenida. Extracción de sangre. Anatomía y topografía aplicada. Acceso venoso, arterial y capilar. Material descartable: tratamiento de las muestras de sangre.  </w:t>
      </w:r>
    </w:p>
    <w:p w:rsid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</w:p>
    <w:p w:rsidR="00672DB6" w:rsidRP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>-</w:t>
      </w:r>
      <w:proofErr w:type="spellStart"/>
      <w:r w:rsidRPr="00672DB6">
        <w:rPr>
          <w:rFonts w:ascii="Arial" w:hAnsi="Arial" w:cs="Arial"/>
          <w:sz w:val="22"/>
          <w:szCs w:val="22"/>
        </w:rPr>
        <w:t>Hemocomponentes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672DB6">
        <w:rPr>
          <w:rFonts w:ascii="Arial" w:hAnsi="Arial" w:cs="Arial"/>
          <w:sz w:val="22"/>
          <w:szCs w:val="22"/>
        </w:rPr>
        <w:t>Hemoderivados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: Definición y características. Técnicas de preparación, almacenamiento, traslado y control de calidad. Inspección visual de los </w:t>
      </w:r>
      <w:proofErr w:type="spellStart"/>
      <w:r w:rsidRPr="00672DB6">
        <w:rPr>
          <w:rFonts w:ascii="Arial" w:hAnsi="Arial" w:cs="Arial"/>
          <w:sz w:val="22"/>
          <w:szCs w:val="22"/>
        </w:rPr>
        <w:t>hemocomponentes</w:t>
      </w:r>
      <w:proofErr w:type="spellEnd"/>
      <w:r w:rsidRPr="00672DB6">
        <w:rPr>
          <w:rFonts w:ascii="Arial" w:hAnsi="Arial" w:cs="Arial"/>
          <w:sz w:val="22"/>
          <w:szCs w:val="22"/>
        </w:rPr>
        <w:t>. Planta física, equipamientos e insumos necesarios. Registros.</w:t>
      </w:r>
    </w:p>
    <w:p w:rsidR="00672DB6" w:rsidRP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 xml:space="preserve">Conservación de la sangre. Importancia del ATP, 2,3-DPG y pH en la viabilidad </w:t>
      </w:r>
      <w:proofErr w:type="spellStart"/>
      <w:r w:rsidRPr="00672DB6">
        <w:rPr>
          <w:rFonts w:ascii="Arial" w:hAnsi="Arial" w:cs="Arial"/>
          <w:sz w:val="22"/>
          <w:szCs w:val="22"/>
        </w:rPr>
        <w:t>postransfusional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. Soluciones anticoagulantes y conservadoras de sangre. Lesiones por almacenamiento del hematíe. </w:t>
      </w:r>
    </w:p>
    <w:p w:rsid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</w:p>
    <w:p w:rsidR="00672DB6" w:rsidRP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 xml:space="preserve">-Preparación de componentes lábiles: Glóbulos Rojos </w:t>
      </w:r>
      <w:proofErr w:type="spellStart"/>
      <w:r w:rsidRPr="00672DB6">
        <w:rPr>
          <w:rFonts w:ascii="Arial" w:hAnsi="Arial" w:cs="Arial"/>
          <w:sz w:val="22"/>
          <w:szCs w:val="22"/>
        </w:rPr>
        <w:t>Desplasmatizados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 y Plasma. Concepto de Plasma de Banco y Plasma Fresco Congelado.</w:t>
      </w:r>
    </w:p>
    <w:p w:rsid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</w:p>
    <w:p w:rsidR="00672DB6" w:rsidRP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 xml:space="preserve">-Preparación de Concentrados </w:t>
      </w:r>
      <w:proofErr w:type="spellStart"/>
      <w:r w:rsidRPr="00672DB6">
        <w:rPr>
          <w:rFonts w:ascii="Arial" w:hAnsi="Arial" w:cs="Arial"/>
          <w:sz w:val="22"/>
          <w:szCs w:val="22"/>
        </w:rPr>
        <w:t>plaquetarios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672DB6">
        <w:rPr>
          <w:rFonts w:ascii="Arial" w:hAnsi="Arial" w:cs="Arial"/>
          <w:sz w:val="22"/>
          <w:szCs w:val="22"/>
        </w:rPr>
        <w:t>crioprecipitados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. Técnicas de separación del Factor VIII. Rendimiento. Obtención de concentrado </w:t>
      </w:r>
      <w:proofErr w:type="spellStart"/>
      <w:r w:rsidRPr="00672DB6">
        <w:rPr>
          <w:rFonts w:ascii="Arial" w:hAnsi="Arial" w:cs="Arial"/>
          <w:sz w:val="22"/>
          <w:szCs w:val="22"/>
        </w:rPr>
        <w:t>granulocitarios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. </w:t>
      </w:r>
    </w:p>
    <w:p w:rsid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</w:p>
    <w:p w:rsidR="00672DB6" w:rsidRP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>-</w:t>
      </w:r>
      <w:proofErr w:type="spellStart"/>
      <w:r w:rsidRPr="00672DB6">
        <w:rPr>
          <w:rFonts w:ascii="Arial" w:hAnsi="Arial" w:cs="Arial"/>
          <w:sz w:val="22"/>
          <w:szCs w:val="22"/>
        </w:rPr>
        <w:t>Hemocomponentes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 especiales: Pobres en Leucocitos, Irradiados, Lavados y Congelados: preparación, indicaciones y Consideraciones Clínicas., Conservación y caducidad, Control de Calidad de los mismos. Inactivación de patógenos  </w:t>
      </w:r>
    </w:p>
    <w:p w:rsid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</w:p>
    <w:p w:rsidR="00672DB6" w:rsidRPr="00672DB6" w:rsidRDefault="00672DB6" w:rsidP="00672DB6">
      <w:pPr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 xml:space="preserve">-Aféresis. Técnicas. </w:t>
      </w:r>
      <w:proofErr w:type="spellStart"/>
      <w:r w:rsidRPr="00672DB6">
        <w:rPr>
          <w:rFonts w:ascii="Arial" w:hAnsi="Arial" w:cs="Arial"/>
          <w:sz w:val="22"/>
          <w:szCs w:val="22"/>
        </w:rPr>
        <w:t>Plaquetaféresis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, selección, control de los donantes, pruebas de laboratorio y registros. </w:t>
      </w:r>
      <w:proofErr w:type="spellStart"/>
      <w:r w:rsidRPr="00672DB6">
        <w:rPr>
          <w:rFonts w:ascii="Arial" w:hAnsi="Arial" w:cs="Arial"/>
          <w:sz w:val="22"/>
          <w:szCs w:val="22"/>
        </w:rPr>
        <w:t>Plasmaféresis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2DB6">
        <w:rPr>
          <w:rFonts w:ascii="Arial" w:hAnsi="Arial" w:cs="Arial"/>
          <w:sz w:val="22"/>
          <w:szCs w:val="22"/>
        </w:rPr>
        <w:t>Eritrocitaféresis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2DB6">
        <w:rPr>
          <w:rFonts w:ascii="Arial" w:hAnsi="Arial" w:cs="Arial"/>
          <w:sz w:val="22"/>
          <w:szCs w:val="22"/>
        </w:rPr>
        <w:t>Granulocitaféresis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. </w:t>
      </w:r>
      <w:r w:rsidR="00AF4462">
        <w:rPr>
          <w:rFonts w:ascii="Arial" w:hAnsi="Arial" w:cs="Arial"/>
          <w:sz w:val="22"/>
          <w:szCs w:val="22"/>
        </w:rPr>
        <w:t>Células progenitoras hematopoyéticas.</w:t>
      </w:r>
      <w:r w:rsidRPr="00672DB6">
        <w:rPr>
          <w:rFonts w:ascii="Arial" w:hAnsi="Arial" w:cs="Arial"/>
          <w:sz w:val="22"/>
          <w:szCs w:val="22"/>
        </w:rPr>
        <w:t xml:space="preserve"> </w:t>
      </w:r>
    </w:p>
    <w:p w:rsidR="006B123B" w:rsidRPr="00672DB6" w:rsidRDefault="006B123B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6B123B" w:rsidRPr="00672DB6" w:rsidRDefault="006B123B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672DB6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672DB6">
        <w:rPr>
          <w:rFonts w:ascii="Arial" w:hAnsi="Arial" w:cs="Arial"/>
          <w:b/>
          <w:u w:val="single"/>
          <w:lang w:val="es-ES_tradnl"/>
        </w:rPr>
        <w:t xml:space="preserve">Carga Horaria: </w:t>
      </w:r>
    </w:p>
    <w:p w:rsidR="00721484" w:rsidRPr="00672DB6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672DB6" w:rsidRDefault="0069651A" w:rsidP="002A3AE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lang w:val="es-ES_tradnl"/>
        </w:rPr>
        <w:t>Horas cátedras teóricas</w:t>
      </w:r>
      <w:proofErr w:type="gramStart"/>
      <w:r>
        <w:rPr>
          <w:rFonts w:ascii="Arial" w:hAnsi="Arial" w:cs="Arial"/>
          <w:lang w:val="es-ES_tradnl"/>
        </w:rPr>
        <w:t>:  60</w:t>
      </w:r>
      <w:proofErr w:type="gramEnd"/>
      <w:r>
        <w:rPr>
          <w:rFonts w:ascii="Arial" w:hAnsi="Arial" w:cs="Arial"/>
          <w:lang w:val="es-ES_tradnl"/>
        </w:rPr>
        <w:t xml:space="preserve"> hs.</w:t>
      </w:r>
    </w:p>
    <w:p w:rsidR="00DA25AD" w:rsidRPr="00672DB6" w:rsidRDefault="00AF4462" w:rsidP="002A3AE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lang w:val="es-ES_tradnl"/>
        </w:rPr>
        <w:t>H</w:t>
      </w:r>
      <w:r w:rsidR="00DA25AD" w:rsidRPr="00672DB6">
        <w:rPr>
          <w:rFonts w:ascii="Arial" w:hAnsi="Arial" w:cs="Arial"/>
          <w:lang w:val="es-ES_tradnl"/>
        </w:rPr>
        <w:t xml:space="preserve">oras reloj prácticas </w:t>
      </w:r>
      <w:proofErr w:type="spellStart"/>
      <w:r w:rsidR="00DA25AD" w:rsidRPr="00672DB6">
        <w:rPr>
          <w:rFonts w:ascii="Arial" w:hAnsi="Arial" w:cs="Arial"/>
          <w:lang w:val="es-ES_tradnl"/>
        </w:rPr>
        <w:t>profesionalizante</w:t>
      </w:r>
      <w:proofErr w:type="spellEnd"/>
      <w:r w:rsidR="00DA25AD" w:rsidRPr="00672DB6">
        <w:rPr>
          <w:rFonts w:ascii="Arial" w:hAnsi="Arial" w:cs="Arial"/>
          <w:lang w:val="es-ES_tradnl"/>
        </w:rPr>
        <w:t>.</w:t>
      </w:r>
      <w:r w:rsidR="0069651A">
        <w:rPr>
          <w:rFonts w:ascii="Arial" w:hAnsi="Arial" w:cs="Arial"/>
          <w:lang w:val="es-ES_tradnl"/>
        </w:rPr>
        <w:t xml:space="preserve">  20  hs.</w:t>
      </w:r>
    </w:p>
    <w:p w:rsidR="00583D10" w:rsidRPr="00672DB6" w:rsidRDefault="00583D1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583D10" w:rsidRPr="00672DB6" w:rsidRDefault="00583D1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672DB6">
        <w:rPr>
          <w:rFonts w:ascii="Arial" w:hAnsi="Arial" w:cs="Arial"/>
          <w:b/>
          <w:u w:val="single"/>
          <w:lang w:val="es-ES_tradnl"/>
        </w:rPr>
        <w:t>Evaluación:</w:t>
      </w:r>
    </w:p>
    <w:p w:rsidR="00672DB6" w:rsidRPr="00672DB6" w:rsidRDefault="00672DB6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672DB6" w:rsidRPr="00672DB6" w:rsidRDefault="00672DB6" w:rsidP="00950BF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 xml:space="preserve">La Asignatura es de carácter cuatrimestral y el proceso enseñanza- aprendizaje se desarrollará bajo modalidad presencial, con clases participativas propiciando la modalidad de taller resolviendo problemas planteados después de desarrollar teóricamente cada tema. Se utilizará la proyección en </w:t>
      </w:r>
      <w:proofErr w:type="spellStart"/>
      <w:r w:rsidRPr="00672DB6">
        <w:rPr>
          <w:rFonts w:ascii="Arial" w:hAnsi="Arial" w:cs="Arial"/>
          <w:sz w:val="22"/>
          <w:szCs w:val="22"/>
        </w:rPr>
        <w:t>Power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 Point como herramienta principal. Las prácticas se desarrollarán en Servicios hospitalarios acordes con cada tema. </w:t>
      </w:r>
    </w:p>
    <w:p w:rsidR="00672DB6" w:rsidRPr="00672DB6" w:rsidRDefault="00672DB6" w:rsidP="00950BFC">
      <w:pPr>
        <w:pStyle w:val="Prrafodelista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672DB6" w:rsidRPr="00672DB6" w:rsidRDefault="00672DB6" w:rsidP="00950BFC">
      <w:pPr>
        <w:suppressAutoHyphens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72DB6">
        <w:rPr>
          <w:rFonts w:ascii="Arial" w:hAnsi="Arial" w:cs="Arial"/>
          <w:sz w:val="22"/>
          <w:szCs w:val="22"/>
        </w:rPr>
        <w:t>e evaluará conceptualmente al alumno por su participación en clase e interés demostrado en el estudio de la materia</w:t>
      </w:r>
      <w:r w:rsidRPr="00672DB6">
        <w:rPr>
          <w:rFonts w:ascii="Arial" w:hAnsi="Arial" w:cs="Arial"/>
          <w:i/>
          <w:sz w:val="22"/>
          <w:szCs w:val="22"/>
        </w:rPr>
        <w:t>.</w:t>
      </w:r>
    </w:p>
    <w:p w:rsidR="00672DB6" w:rsidRPr="00672DB6" w:rsidRDefault="00672DB6" w:rsidP="00950BF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 xml:space="preserve">Se tomarán dos parciales, cada uno al terminar cada bimestre, los alumnos que desaprobaran o no se presentaran a estos parciales, contarán con dos fechas posteriores como </w:t>
      </w:r>
      <w:proofErr w:type="spellStart"/>
      <w:r w:rsidRPr="00672DB6">
        <w:rPr>
          <w:rFonts w:ascii="Arial" w:hAnsi="Arial" w:cs="Arial"/>
          <w:sz w:val="22"/>
          <w:szCs w:val="22"/>
        </w:rPr>
        <w:t>recuperatorios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, en las dos semanas siguientes a la fecha del parcial </w:t>
      </w:r>
      <w:r w:rsidRPr="00672DB6">
        <w:rPr>
          <w:rFonts w:ascii="Arial" w:hAnsi="Arial" w:cs="Arial"/>
          <w:sz w:val="22"/>
          <w:szCs w:val="22"/>
        </w:rPr>
        <w:lastRenderedPageBreak/>
        <w:t xml:space="preserve">correspondiente. Parciales y </w:t>
      </w:r>
      <w:proofErr w:type="spellStart"/>
      <w:r w:rsidRPr="00672DB6">
        <w:rPr>
          <w:rFonts w:ascii="Arial" w:hAnsi="Arial" w:cs="Arial"/>
          <w:sz w:val="22"/>
          <w:szCs w:val="22"/>
        </w:rPr>
        <w:t>recuperatorios</w:t>
      </w:r>
      <w:proofErr w:type="spellEnd"/>
      <w:r w:rsidRPr="00672DB6">
        <w:rPr>
          <w:rFonts w:ascii="Arial" w:hAnsi="Arial" w:cs="Arial"/>
          <w:sz w:val="22"/>
          <w:szCs w:val="22"/>
        </w:rPr>
        <w:t xml:space="preserve"> estarán compuestos por preguntas de elección múltiple.</w:t>
      </w:r>
    </w:p>
    <w:p w:rsidR="00672DB6" w:rsidRPr="00672DB6" w:rsidRDefault="00672DB6" w:rsidP="00950BF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 xml:space="preserve">La </w:t>
      </w:r>
      <w:r w:rsidR="00AF4462" w:rsidRPr="00672DB6">
        <w:rPr>
          <w:rFonts w:ascii="Arial" w:hAnsi="Arial" w:cs="Arial"/>
          <w:sz w:val="22"/>
          <w:szCs w:val="22"/>
        </w:rPr>
        <w:t>C</w:t>
      </w:r>
      <w:r w:rsidR="00AF4462">
        <w:rPr>
          <w:rFonts w:ascii="Arial" w:hAnsi="Arial" w:cs="Arial"/>
          <w:sz w:val="22"/>
          <w:szCs w:val="22"/>
        </w:rPr>
        <w:t xml:space="preserve">omisión </w:t>
      </w:r>
      <w:r w:rsidRPr="00672DB6">
        <w:rPr>
          <w:rFonts w:ascii="Arial" w:hAnsi="Arial" w:cs="Arial"/>
          <w:sz w:val="22"/>
          <w:szCs w:val="22"/>
        </w:rPr>
        <w:t xml:space="preserve"> se reserva el derecho de tomar examen final oral cuando el número de inscriptos sea escaso.</w:t>
      </w:r>
    </w:p>
    <w:p w:rsidR="00F3293F" w:rsidRPr="00672DB6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21484" w:rsidRPr="00672DB6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672DB6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672DB6">
        <w:rPr>
          <w:rFonts w:ascii="Arial" w:hAnsi="Arial" w:cs="Arial"/>
          <w:b/>
          <w:u w:val="single"/>
          <w:lang w:val="es-ES_tradnl"/>
        </w:rPr>
        <w:t>Bibliografía:</w:t>
      </w:r>
    </w:p>
    <w:p w:rsidR="00F3293F" w:rsidRPr="00672DB6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672DB6" w:rsidRPr="00672DB6" w:rsidRDefault="00672DB6" w:rsidP="00672DB6">
      <w:pPr>
        <w:pStyle w:val="Prrafodelista"/>
        <w:numPr>
          <w:ilvl w:val="0"/>
          <w:numId w:val="12"/>
        </w:numPr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72DB6">
        <w:rPr>
          <w:rFonts w:ascii="Arial" w:hAnsi="Arial" w:cs="Arial"/>
          <w:sz w:val="22"/>
          <w:szCs w:val="22"/>
        </w:rPr>
        <w:t xml:space="preserve">Manual Técnico de </w:t>
      </w:r>
      <w:smartTag w:uri="urn:schemas-microsoft-com:office:smarttags" w:element="PersonName">
        <w:smartTagPr>
          <w:attr w:name="ProductID" w:val="la Asociación Americana"/>
        </w:smartTagPr>
        <w:r w:rsidRPr="00672DB6">
          <w:rPr>
            <w:rFonts w:ascii="Arial" w:hAnsi="Arial" w:cs="Arial"/>
            <w:sz w:val="22"/>
            <w:szCs w:val="22"/>
          </w:rPr>
          <w:t>la Asociación Americana</w:t>
        </w:r>
      </w:smartTag>
      <w:r w:rsidRPr="00672DB6">
        <w:rPr>
          <w:rFonts w:ascii="Arial" w:hAnsi="Arial" w:cs="Arial"/>
          <w:sz w:val="22"/>
          <w:szCs w:val="22"/>
        </w:rPr>
        <w:t xml:space="preserve"> de Bancos de Sangre, 17</w:t>
      </w:r>
      <w:r w:rsidRPr="00672DB6">
        <w:rPr>
          <w:rFonts w:ascii="Arial" w:hAnsi="Arial" w:cs="Arial"/>
          <w:sz w:val="22"/>
          <w:szCs w:val="22"/>
          <w:vertAlign w:val="superscript"/>
        </w:rPr>
        <w:t>a</w:t>
      </w:r>
      <w:r w:rsidRPr="00672DB6">
        <w:rPr>
          <w:rFonts w:ascii="Arial" w:hAnsi="Arial" w:cs="Arial"/>
          <w:sz w:val="22"/>
          <w:szCs w:val="22"/>
        </w:rPr>
        <w:t xml:space="preserve"> Edición</w:t>
      </w:r>
      <w:r w:rsidRPr="00672DB6">
        <w:rPr>
          <w:rFonts w:ascii="Arial" w:hAnsi="Arial" w:cs="Arial"/>
          <w:spacing w:val="-3"/>
          <w:sz w:val="22"/>
          <w:szCs w:val="22"/>
        </w:rPr>
        <w:t>.</w:t>
      </w:r>
    </w:p>
    <w:p w:rsidR="00672DB6" w:rsidRPr="00672DB6" w:rsidRDefault="00672DB6" w:rsidP="00672DB6">
      <w:pPr>
        <w:ind w:left="708" w:firstLine="60"/>
        <w:jc w:val="both"/>
        <w:rPr>
          <w:rFonts w:ascii="Arial" w:hAnsi="Arial" w:cs="Arial"/>
          <w:i/>
          <w:spacing w:val="-3"/>
          <w:sz w:val="22"/>
          <w:szCs w:val="22"/>
        </w:rPr>
      </w:pPr>
    </w:p>
    <w:p w:rsidR="00672DB6" w:rsidRPr="00672DB6" w:rsidRDefault="00672DB6" w:rsidP="00672DB6">
      <w:pPr>
        <w:keepNext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72DB6">
        <w:rPr>
          <w:rFonts w:ascii="Arial" w:hAnsi="Arial" w:cs="Arial"/>
          <w:spacing w:val="-3"/>
          <w:sz w:val="22"/>
          <w:szCs w:val="22"/>
        </w:rPr>
        <w:t xml:space="preserve">Aplicaciones y Práctica de </w:t>
      </w:r>
      <w:smartTag w:uri="urn:schemas-microsoft-com:office:smarttags" w:element="PersonName">
        <w:smartTagPr>
          <w:attr w:name="ProductID" w:val="la Medicina Transfusional"/>
        </w:smartTagPr>
        <w:r w:rsidRPr="00672DB6">
          <w:rPr>
            <w:rFonts w:ascii="Arial" w:hAnsi="Arial" w:cs="Arial"/>
            <w:spacing w:val="-3"/>
            <w:sz w:val="22"/>
            <w:szCs w:val="22"/>
          </w:rPr>
          <w:t>la Medicina Transfusional</w:t>
        </w:r>
      </w:smartTag>
      <w:r w:rsidRPr="00672DB6">
        <w:rPr>
          <w:rFonts w:ascii="Arial" w:hAnsi="Arial" w:cs="Arial"/>
          <w:spacing w:val="-3"/>
          <w:sz w:val="22"/>
          <w:szCs w:val="22"/>
        </w:rPr>
        <w:t>, Tomos I y II. Primera Edición 2013. Armando Cortés y colaboradores.</w:t>
      </w:r>
    </w:p>
    <w:p w:rsidR="00672DB6" w:rsidRPr="00672DB6" w:rsidRDefault="00672DB6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672DB6" w:rsidRPr="00672DB6" w:rsidRDefault="00672DB6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672DB6" w:rsidRPr="00F3293F" w:rsidRDefault="00672DB6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sectPr w:rsidR="00672DB6" w:rsidRPr="00F3293F" w:rsidSect="00ED5D1E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33" w:rsidRDefault="00521B33" w:rsidP="0004580F">
      <w:r>
        <w:separator/>
      </w:r>
    </w:p>
  </w:endnote>
  <w:endnote w:type="continuationSeparator" w:id="1">
    <w:p w:rsidR="00521B33" w:rsidRDefault="00521B33" w:rsidP="000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33" w:rsidRDefault="00521B33" w:rsidP="0004580F">
      <w:r>
        <w:separator/>
      </w:r>
    </w:p>
  </w:footnote>
  <w:footnote w:type="continuationSeparator" w:id="1">
    <w:p w:rsidR="00521B33" w:rsidRDefault="00521B33" w:rsidP="000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0F" w:rsidRDefault="002E410F">
    <w:pPr>
      <w:pStyle w:val="Encabezado"/>
    </w:pPr>
    <w:r w:rsidRPr="002E410F">
      <w:rPr>
        <w:noProof/>
        <w:lang w:eastAsia="es-AR"/>
      </w:rPr>
      <w:drawing>
        <wp:inline distT="0" distB="0" distL="0" distR="0">
          <wp:extent cx="5400040" cy="1373992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3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2434F2"/>
    <w:multiLevelType w:val="hybridMultilevel"/>
    <w:tmpl w:val="B2B4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6860"/>
    <w:multiLevelType w:val="hybridMultilevel"/>
    <w:tmpl w:val="E880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6E76"/>
    <w:multiLevelType w:val="hybridMultilevel"/>
    <w:tmpl w:val="CB04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528C"/>
    <w:multiLevelType w:val="hybridMultilevel"/>
    <w:tmpl w:val="245EB368"/>
    <w:lvl w:ilvl="0" w:tplc="E9A84FF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40" w:hanging="360"/>
      </w:pPr>
    </w:lvl>
    <w:lvl w:ilvl="2" w:tplc="2C0A001B" w:tentative="1">
      <w:start w:val="1"/>
      <w:numFmt w:val="lowerRoman"/>
      <w:lvlText w:val="%3."/>
      <w:lvlJc w:val="right"/>
      <w:pPr>
        <w:ind w:left="2460" w:hanging="180"/>
      </w:pPr>
    </w:lvl>
    <w:lvl w:ilvl="3" w:tplc="2C0A000F" w:tentative="1">
      <w:start w:val="1"/>
      <w:numFmt w:val="decimal"/>
      <w:lvlText w:val="%4."/>
      <w:lvlJc w:val="left"/>
      <w:pPr>
        <w:ind w:left="3180" w:hanging="360"/>
      </w:pPr>
    </w:lvl>
    <w:lvl w:ilvl="4" w:tplc="2C0A0019" w:tentative="1">
      <w:start w:val="1"/>
      <w:numFmt w:val="lowerLetter"/>
      <w:lvlText w:val="%5."/>
      <w:lvlJc w:val="left"/>
      <w:pPr>
        <w:ind w:left="3900" w:hanging="360"/>
      </w:pPr>
    </w:lvl>
    <w:lvl w:ilvl="5" w:tplc="2C0A001B" w:tentative="1">
      <w:start w:val="1"/>
      <w:numFmt w:val="lowerRoman"/>
      <w:lvlText w:val="%6."/>
      <w:lvlJc w:val="right"/>
      <w:pPr>
        <w:ind w:left="4620" w:hanging="180"/>
      </w:pPr>
    </w:lvl>
    <w:lvl w:ilvl="6" w:tplc="2C0A000F" w:tentative="1">
      <w:start w:val="1"/>
      <w:numFmt w:val="decimal"/>
      <w:lvlText w:val="%7."/>
      <w:lvlJc w:val="left"/>
      <w:pPr>
        <w:ind w:left="5340" w:hanging="360"/>
      </w:pPr>
    </w:lvl>
    <w:lvl w:ilvl="7" w:tplc="2C0A0019" w:tentative="1">
      <w:start w:val="1"/>
      <w:numFmt w:val="lowerLetter"/>
      <w:lvlText w:val="%8."/>
      <w:lvlJc w:val="left"/>
      <w:pPr>
        <w:ind w:left="6060" w:hanging="360"/>
      </w:pPr>
    </w:lvl>
    <w:lvl w:ilvl="8" w:tplc="2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A5C390E"/>
    <w:multiLevelType w:val="hybridMultilevel"/>
    <w:tmpl w:val="532057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E6979"/>
    <w:multiLevelType w:val="hybridMultilevel"/>
    <w:tmpl w:val="4D3430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872A2"/>
    <w:multiLevelType w:val="hybridMultilevel"/>
    <w:tmpl w:val="571E8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606CC6"/>
    <w:multiLevelType w:val="hybridMultilevel"/>
    <w:tmpl w:val="5BA0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D34E0"/>
    <w:multiLevelType w:val="hybridMultilevel"/>
    <w:tmpl w:val="DF4E33CC"/>
    <w:lvl w:ilvl="0" w:tplc="68E80FF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C2FBE"/>
    <w:multiLevelType w:val="hybridMultilevel"/>
    <w:tmpl w:val="C024B9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05FBC"/>
    <w:multiLevelType w:val="hybridMultilevel"/>
    <w:tmpl w:val="D42671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B225B"/>
    <w:multiLevelType w:val="hybridMultilevel"/>
    <w:tmpl w:val="887EF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9204D"/>
    <w:multiLevelType w:val="hybridMultilevel"/>
    <w:tmpl w:val="D3A6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A7C9E"/>
    <w:multiLevelType w:val="hybridMultilevel"/>
    <w:tmpl w:val="AEF0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960B9"/>
    <w:multiLevelType w:val="hybridMultilevel"/>
    <w:tmpl w:val="A904A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F08BF"/>
    <w:rsid w:val="00024F68"/>
    <w:rsid w:val="00032510"/>
    <w:rsid w:val="00044975"/>
    <w:rsid w:val="0004580F"/>
    <w:rsid w:val="00045B3B"/>
    <w:rsid w:val="00076057"/>
    <w:rsid w:val="000B583D"/>
    <w:rsid w:val="000B7884"/>
    <w:rsid w:val="000E4E71"/>
    <w:rsid w:val="000F3622"/>
    <w:rsid w:val="0011221A"/>
    <w:rsid w:val="001221AE"/>
    <w:rsid w:val="00181451"/>
    <w:rsid w:val="001B1E40"/>
    <w:rsid w:val="001B2873"/>
    <w:rsid w:val="001B35C9"/>
    <w:rsid w:val="001C44FE"/>
    <w:rsid w:val="001D3032"/>
    <w:rsid w:val="002008CB"/>
    <w:rsid w:val="00216036"/>
    <w:rsid w:val="002846BD"/>
    <w:rsid w:val="002A3AEF"/>
    <w:rsid w:val="002C69FF"/>
    <w:rsid w:val="002C761C"/>
    <w:rsid w:val="002D0BBB"/>
    <w:rsid w:val="002E410F"/>
    <w:rsid w:val="002F1937"/>
    <w:rsid w:val="00300B26"/>
    <w:rsid w:val="00311159"/>
    <w:rsid w:val="00370F02"/>
    <w:rsid w:val="003735AB"/>
    <w:rsid w:val="0038116E"/>
    <w:rsid w:val="003938C5"/>
    <w:rsid w:val="003B0956"/>
    <w:rsid w:val="003B20B1"/>
    <w:rsid w:val="003B340E"/>
    <w:rsid w:val="003C60EE"/>
    <w:rsid w:val="003E3718"/>
    <w:rsid w:val="004142F3"/>
    <w:rsid w:val="00421BE1"/>
    <w:rsid w:val="00422D82"/>
    <w:rsid w:val="004233EB"/>
    <w:rsid w:val="004340F4"/>
    <w:rsid w:val="0044185C"/>
    <w:rsid w:val="00457631"/>
    <w:rsid w:val="004904BF"/>
    <w:rsid w:val="004A47E0"/>
    <w:rsid w:val="004B32E8"/>
    <w:rsid w:val="004C5EF8"/>
    <w:rsid w:val="00521B33"/>
    <w:rsid w:val="00534FC5"/>
    <w:rsid w:val="00583D10"/>
    <w:rsid w:val="005D497A"/>
    <w:rsid w:val="0061012D"/>
    <w:rsid w:val="00611AED"/>
    <w:rsid w:val="00612317"/>
    <w:rsid w:val="00637594"/>
    <w:rsid w:val="00672DB6"/>
    <w:rsid w:val="0069651A"/>
    <w:rsid w:val="00697B3C"/>
    <w:rsid w:val="00697BBE"/>
    <w:rsid w:val="006A33D9"/>
    <w:rsid w:val="006B123B"/>
    <w:rsid w:val="006B78E1"/>
    <w:rsid w:val="006C69B4"/>
    <w:rsid w:val="006D3B2F"/>
    <w:rsid w:val="006E6CE8"/>
    <w:rsid w:val="006F131A"/>
    <w:rsid w:val="00701C1D"/>
    <w:rsid w:val="00721484"/>
    <w:rsid w:val="00734662"/>
    <w:rsid w:val="00740D5C"/>
    <w:rsid w:val="007448B4"/>
    <w:rsid w:val="007562F7"/>
    <w:rsid w:val="007647A6"/>
    <w:rsid w:val="007654CB"/>
    <w:rsid w:val="00772BAD"/>
    <w:rsid w:val="007926A8"/>
    <w:rsid w:val="0079315F"/>
    <w:rsid w:val="00795993"/>
    <w:rsid w:val="007C01B2"/>
    <w:rsid w:val="007C7C9F"/>
    <w:rsid w:val="007E175F"/>
    <w:rsid w:val="007E3757"/>
    <w:rsid w:val="007E7511"/>
    <w:rsid w:val="00802162"/>
    <w:rsid w:val="00820847"/>
    <w:rsid w:val="00827EC2"/>
    <w:rsid w:val="008352D4"/>
    <w:rsid w:val="00845AE8"/>
    <w:rsid w:val="008653CE"/>
    <w:rsid w:val="00880FB3"/>
    <w:rsid w:val="00896586"/>
    <w:rsid w:val="008C1766"/>
    <w:rsid w:val="008C3E5D"/>
    <w:rsid w:val="008F67FF"/>
    <w:rsid w:val="00920175"/>
    <w:rsid w:val="009227FF"/>
    <w:rsid w:val="0094283B"/>
    <w:rsid w:val="00947C88"/>
    <w:rsid w:val="00950BFC"/>
    <w:rsid w:val="00957E1C"/>
    <w:rsid w:val="00986BCE"/>
    <w:rsid w:val="00994DFE"/>
    <w:rsid w:val="009A68D4"/>
    <w:rsid w:val="009B224D"/>
    <w:rsid w:val="009E4DC3"/>
    <w:rsid w:val="009F1DB1"/>
    <w:rsid w:val="00A1075C"/>
    <w:rsid w:val="00A42A4A"/>
    <w:rsid w:val="00A679F1"/>
    <w:rsid w:val="00A909F9"/>
    <w:rsid w:val="00AA4E9E"/>
    <w:rsid w:val="00AD739E"/>
    <w:rsid w:val="00AF4462"/>
    <w:rsid w:val="00B1139E"/>
    <w:rsid w:val="00B31C3C"/>
    <w:rsid w:val="00B421A4"/>
    <w:rsid w:val="00B441E8"/>
    <w:rsid w:val="00B4727F"/>
    <w:rsid w:val="00B67CF6"/>
    <w:rsid w:val="00B8434B"/>
    <w:rsid w:val="00B939AE"/>
    <w:rsid w:val="00BA11CD"/>
    <w:rsid w:val="00BC170F"/>
    <w:rsid w:val="00BD3A46"/>
    <w:rsid w:val="00BF1AC2"/>
    <w:rsid w:val="00C164B8"/>
    <w:rsid w:val="00C43CF2"/>
    <w:rsid w:val="00C442F2"/>
    <w:rsid w:val="00CA2772"/>
    <w:rsid w:val="00CB64F8"/>
    <w:rsid w:val="00CC06CB"/>
    <w:rsid w:val="00CC5C68"/>
    <w:rsid w:val="00CC7F8D"/>
    <w:rsid w:val="00CE2EE0"/>
    <w:rsid w:val="00CE4008"/>
    <w:rsid w:val="00D03DFD"/>
    <w:rsid w:val="00D07B41"/>
    <w:rsid w:val="00D259F0"/>
    <w:rsid w:val="00D27B60"/>
    <w:rsid w:val="00D50CBE"/>
    <w:rsid w:val="00D66E42"/>
    <w:rsid w:val="00D83927"/>
    <w:rsid w:val="00DA25AD"/>
    <w:rsid w:val="00DA2F7A"/>
    <w:rsid w:val="00DB112B"/>
    <w:rsid w:val="00DB5DF7"/>
    <w:rsid w:val="00DE55D5"/>
    <w:rsid w:val="00DF08BF"/>
    <w:rsid w:val="00DF53D4"/>
    <w:rsid w:val="00E3520F"/>
    <w:rsid w:val="00E635E2"/>
    <w:rsid w:val="00E82C82"/>
    <w:rsid w:val="00E84D40"/>
    <w:rsid w:val="00EB7036"/>
    <w:rsid w:val="00ED5D1E"/>
    <w:rsid w:val="00EE3FD9"/>
    <w:rsid w:val="00EE5A41"/>
    <w:rsid w:val="00F3293F"/>
    <w:rsid w:val="00F37FC0"/>
    <w:rsid w:val="00F57A9D"/>
    <w:rsid w:val="00F83C92"/>
    <w:rsid w:val="00FA50CF"/>
    <w:rsid w:val="00FA68A8"/>
    <w:rsid w:val="00FC49AB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672DB6"/>
    <w:pPr>
      <w:ind w:left="708"/>
    </w:pPr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CABC0-AD38-4B59-8B01-4CDCA9E5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Ecocardiográfia y Doppler Cardiovascular</vt:lpstr>
    </vt:vector>
  </TitlesOfParts>
  <Company>Universidad de Buenos Aires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Ecocardiográfia y Doppler Cardiovascular</dc:title>
  <dc:subject>Carrera de Técnicos en Prácticas Cardiológicas</dc:subject>
  <dc:creator>Universidad de Buenos Aires – Facultad de Medicina</dc:creator>
  <cp:lastModifiedBy>tecnicatura1</cp:lastModifiedBy>
  <cp:revision>6</cp:revision>
  <cp:lastPrinted>2018-04-12T12:52:00Z</cp:lastPrinted>
  <dcterms:created xsi:type="dcterms:W3CDTF">2018-04-11T13:35:00Z</dcterms:created>
  <dcterms:modified xsi:type="dcterms:W3CDTF">2018-05-21T15:19:00Z</dcterms:modified>
</cp:coreProperties>
</file>