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Hemoterapia e Inmunohematología</w:t>
      </w:r>
    </w:p>
    <w:p w:rsidR="00F3293F" w:rsidRPr="00583D10" w:rsidRDefault="00F3293F" w:rsidP="00F3293F">
      <w:pPr>
        <w:pStyle w:val="Sinespaciado"/>
        <w:jc w:val="center"/>
        <w:rPr>
          <w:rFonts w:ascii="Arial" w:hAnsi="Arial" w:cs="Arial"/>
          <w:b/>
          <w:sz w:val="24"/>
          <w:szCs w:val="24"/>
          <w:lang w:val="es-ES_tradnl"/>
        </w:rPr>
      </w:pPr>
    </w:p>
    <w:p w:rsidR="00721484" w:rsidRPr="00583D10" w:rsidRDefault="000F0A50" w:rsidP="00F3293F">
      <w:pPr>
        <w:pStyle w:val="Sinespaciado"/>
        <w:jc w:val="center"/>
        <w:rPr>
          <w:rFonts w:ascii="Arial" w:hAnsi="Arial" w:cs="Arial"/>
          <w:b/>
          <w:sz w:val="24"/>
          <w:szCs w:val="24"/>
          <w:lang w:val="es-ES_tradnl"/>
        </w:rPr>
      </w:pPr>
      <w:r>
        <w:rPr>
          <w:rFonts w:ascii="Arial" w:hAnsi="Arial" w:cs="Arial"/>
          <w:b/>
          <w:sz w:val="24"/>
          <w:szCs w:val="24"/>
          <w:lang w:val="es-ES_tradnl"/>
        </w:rPr>
        <w:t>PATOLOGIA INMUNOHEMATOLOGICA</w:t>
      </w:r>
    </w:p>
    <w:p w:rsidR="00F3293F" w:rsidRDefault="00F3293F" w:rsidP="00F3293F">
      <w:pPr>
        <w:pStyle w:val="Sinespaciado"/>
        <w:jc w:val="center"/>
        <w:rPr>
          <w:rFonts w:ascii="Arial" w:hAnsi="Arial" w:cs="Arial"/>
          <w:lang w:val="es-ES_tradnl"/>
        </w:rPr>
      </w:pPr>
    </w:p>
    <w:p w:rsidR="00721484" w:rsidRDefault="00721484" w:rsidP="00DF08BF">
      <w:pPr>
        <w:pStyle w:val="Sinespaciado"/>
        <w:rPr>
          <w:rFonts w:ascii="Arial" w:hAnsi="Arial" w:cs="Arial"/>
          <w:lang w:val="es-ES_tradnl"/>
        </w:rPr>
      </w:pPr>
    </w:p>
    <w:p w:rsidR="00DA25AD" w:rsidRPr="00F3293F" w:rsidRDefault="00DA25AD" w:rsidP="00F3293F">
      <w:pPr>
        <w:pStyle w:val="Sinespaciado"/>
        <w:rPr>
          <w:rFonts w:ascii="Arial" w:hAnsi="Arial" w:cs="Arial"/>
          <w:b/>
          <w:u w:val="single"/>
          <w:lang w:val="es-ES_tradnl"/>
        </w:rPr>
      </w:pPr>
      <w:r w:rsidRPr="00F3293F">
        <w:rPr>
          <w:rFonts w:ascii="Arial" w:hAnsi="Arial" w:cs="Arial"/>
          <w:b/>
          <w:u w:val="single"/>
          <w:lang w:val="es-ES_tradnl"/>
        </w:rPr>
        <w:t>Propósitos:</w:t>
      </w:r>
    </w:p>
    <w:p w:rsidR="00F3293F" w:rsidRPr="00DF08BF" w:rsidRDefault="00F3293F" w:rsidP="00F3293F">
      <w:pPr>
        <w:pStyle w:val="Sinespaciado"/>
        <w:ind w:left="720"/>
        <w:rPr>
          <w:rFonts w:ascii="Arial" w:hAnsi="Arial" w:cs="Arial"/>
          <w:b/>
          <w:lang w:val="es-ES_tradnl"/>
        </w:rPr>
      </w:pPr>
    </w:p>
    <w:p w:rsidR="000F0A50" w:rsidRPr="000F0A50" w:rsidRDefault="000F0A50" w:rsidP="000F0A50">
      <w:pPr>
        <w:pStyle w:val="Sinespaciado"/>
        <w:spacing w:line="276" w:lineRule="auto"/>
        <w:jc w:val="both"/>
        <w:rPr>
          <w:rFonts w:ascii="Arial" w:hAnsi="Arial" w:cs="Arial"/>
        </w:rPr>
      </w:pPr>
      <w:r w:rsidRPr="000F0A50">
        <w:rPr>
          <w:rFonts w:ascii="Arial" w:hAnsi="Arial" w:cs="Arial"/>
        </w:rPr>
        <w:t>Resulta esencial para la formación del Técnico Universitario en Hemoterapia e Inmunohematología el cabal conocimiento de la patología de base inmunohematológica porque resulta ineludible para la comprensión de los procesos fisiopatológicos por los que transita muy buena parte de los pacientes destinatarios de su labor profesional.</w:t>
      </w:r>
    </w:p>
    <w:p w:rsidR="000F0A50" w:rsidRPr="000F0A50" w:rsidRDefault="000F0A50" w:rsidP="000F0A50">
      <w:pPr>
        <w:pStyle w:val="Sinespaciado"/>
        <w:spacing w:line="276" w:lineRule="auto"/>
        <w:jc w:val="both"/>
        <w:rPr>
          <w:rFonts w:ascii="Arial" w:hAnsi="Arial" w:cs="Arial"/>
        </w:rPr>
      </w:pPr>
      <w:r w:rsidRPr="000F0A50">
        <w:rPr>
          <w:rFonts w:ascii="Arial" w:hAnsi="Arial" w:cs="Arial"/>
        </w:rPr>
        <w:t xml:space="preserve">Esas patologías emergentes se relacionan con aspectos de la atención de los pacientes vinculados al diagnóstico, tratamiento y prevención de entidades cuyo curso y pronóstico ha cambiado sustancial y favorablemente a partir de la intervención y la evolución de disciplinas como la Inmunohematología y la Medicina Transfusional. Algunas de estas enfermedades, como la Enfermedad Hemolítica Feto-Neonatal y otras </w:t>
      </w:r>
      <w:proofErr w:type="spellStart"/>
      <w:r w:rsidRPr="000F0A50">
        <w:rPr>
          <w:rFonts w:ascii="Arial" w:hAnsi="Arial" w:cs="Arial"/>
        </w:rPr>
        <w:t>citopeniasaloinmunes</w:t>
      </w:r>
      <w:proofErr w:type="spellEnd"/>
      <w:r w:rsidRPr="000F0A50">
        <w:rPr>
          <w:rFonts w:ascii="Arial" w:hAnsi="Arial" w:cs="Arial"/>
        </w:rPr>
        <w:t xml:space="preserve"> son naturales y gracias al mayor conocimiento y a las posibilidades </w:t>
      </w:r>
      <w:proofErr w:type="spellStart"/>
      <w:r w:rsidRPr="000F0A50">
        <w:rPr>
          <w:rFonts w:ascii="Arial" w:hAnsi="Arial" w:cs="Arial"/>
        </w:rPr>
        <w:t>inmunoprofilácticas</w:t>
      </w:r>
      <w:proofErr w:type="spellEnd"/>
      <w:r w:rsidRPr="000F0A50">
        <w:rPr>
          <w:rFonts w:ascii="Arial" w:hAnsi="Arial" w:cs="Arial"/>
        </w:rPr>
        <w:t xml:space="preserve"> son cada vez menos frecuentes y con mucho menor </w:t>
      </w:r>
      <w:proofErr w:type="spellStart"/>
      <w:r w:rsidRPr="000F0A50">
        <w:rPr>
          <w:rFonts w:ascii="Arial" w:hAnsi="Arial" w:cs="Arial"/>
        </w:rPr>
        <w:t>morbi</w:t>
      </w:r>
      <w:proofErr w:type="spellEnd"/>
      <w:r w:rsidRPr="000F0A50">
        <w:rPr>
          <w:rFonts w:ascii="Arial" w:hAnsi="Arial" w:cs="Arial"/>
        </w:rPr>
        <w:t xml:space="preserve">-mortalidad. Otros pacientes, con enfermedades de origen autoinmune como algunas Anemias Hemolíticas pueden ser sostenidos gracias a las transfusiones cada vez más seguras, durante los lapsos en que los tratamientos de base todavía no pueden ejercer sus efectos deseados. Por último, también existe la patología inmunohematológica de causa iatrogénica, que es necesario conocer para prevenir o reconocer prematuramente aquellos efectos indeseables de la práctica transfusional entre los que se encuentran la Enfermedad Injerto contra Huésped, la refractariedad a las transfusiones de concentrados plaquetarios, la Injuria Pulmonar Aguda Relacionada con Transfusión, la Reacción Hemolítica Postransfusional y la Púrpura </w:t>
      </w:r>
      <w:proofErr w:type="spellStart"/>
      <w:r w:rsidRPr="000F0A50">
        <w:rPr>
          <w:rFonts w:ascii="Arial" w:hAnsi="Arial" w:cs="Arial"/>
        </w:rPr>
        <w:t>PosTransfusional</w:t>
      </w:r>
      <w:proofErr w:type="spellEnd"/>
      <w:r w:rsidRPr="000F0A50">
        <w:rPr>
          <w:rFonts w:ascii="Arial" w:hAnsi="Arial" w:cs="Arial"/>
        </w:rPr>
        <w:t xml:space="preserve">.   </w:t>
      </w:r>
    </w:p>
    <w:p w:rsidR="00721484" w:rsidRDefault="00721484" w:rsidP="00DF08BF">
      <w:pPr>
        <w:pStyle w:val="Sinespaciado"/>
        <w:jc w:val="both"/>
        <w:rPr>
          <w:rFonts w:ascii="Arial" w:hAnsi="Arial" w:cs="Arial"/>
          <w:lang w:val="es-ES_tradnl"/>
        </w:rPr>
      </w:pPr>
    </w:p>
    <w:p w:rsidR="00721484" w:rsidRDefault="00721484" w:rsidP="00DF08BF">
      <w:pPr>
        <w:pStyle w:val="Sinespaciado"/>
        <w:jc w:val="both"/>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DA25AD" w:rsidRPr="00827EC2" w:rsidRDefault="00DA25AD" w:rsidP="00DF08BF">
      <w:pPr>
        <w:pStyle w:val="Sinespaciado"/>
        <w:jc w:val="both"/>
        <w:rPr>
          <w:rFonts w:ascii="Arial" w:hAnsi="Arial" w:cs="Arial"/>
          <w:b/>
          <w:lang w:val="es-ES_tradnl"/>
        </w:rPr>
      </w:pPr>
      <w:r w:rsidRPr="00827EC2">
        <w:rPr>
          <w:rFonts w:ascii="Arial" w:hAnsi="Arial" w:cs="Arial"/>
          <w:b/>
          <w:lang w:val="es-ES_tradnl"/>
        </w:rPr>
        <w:t>Que el alumno</w:t>
      </w:r>
      <w:r w:rsidR="00B26BF6">
        <w:rPr>
          <w:rFonts w:ascii="Arial" w:hAnsi="Arial" w:cs="Arial"/>
          <w:b/>
          <w:lang w:val="es-ES_tradnl"/>
        </w:rPr>
        <w:t xml:space="preserve"> pueda</w:t>
      </w:r>
      <w:r w:rsidRPr="00827EC2">
        <w:rPr>
          <w:rFonts w:ascii="Arial" w:hAnsi="Arial" w:cs="Arial"/>
          <w:b/>
          <w:lang w:val="es-ES_tradnl"/>
        </w:rPr>
        <w:t>:</w:t>
      </w:r>
    </w:p>
    <w:p w:rsidR="000F0A50" w:rsidRPr="007A72BF" w:rsidRDefault="000F0A50" w:rsidP="000F0A50">
      <w:pPr>
        <w:numPr>
          <w:ilvl w:val="0"/>
          <w:numId w:val="14"/>
        </w:numPr>
        <w:spacing w:line="276" w:lineRule="auto"/>
        <w:ind w:left="851" w:hanging="284"/>
        <w:jc w:val="both"/>
        <w:rPr>
          <w:rFonts w:ascii="Arial" w:hAnsi="Arial" w:cs="Arial"/>
          <w:sz w:val="22"/>
          <w:szCs w:val="22"/>
        </w:rPr>
      </w:pPr>
      <w:r w:rsidRPr="007A72BF">
        <w:rPr>
          <w:rFonts w:ascii="Arial" w:hAnsi="Arial" w:cs="Arial"/>
          <w:sz w:val="22"/>
          <w:szCs w:val="22"/>
        </w:rPr>
        <w:t xml:space="preserve">Integrar los conocimientos aprendidos, reconociendo </w:t>
      </w:r>
      <w:r>
        <w:rPr>
          <w:rFonts w:ascii="Arial" w:hAnsi="Arial" w:cs="Arial"/>
          <w:sz w:val="22"/>
          <w:szCs w:val="22"/>
        </w:rPr>
        <w:t xml:space="preserve">la base de la patología inmunohematológica aplicada a cada entidad en el ser humano </w:t>
      </w:r>
      <w:r w:rsidRPr="007A72BF">
        <w:rPr>
          <w:rFonts w:ascii="Arial" w:hAnsi="Arial" w:cs="Arial"/>
          <w:sz w:val="22"/>
          <w:szCs w:val="22"/>
        </w:rPr>
        <w:t xml:space="preserve">en los diferentes contextos clínicos y de laboratorio que se presentan en un Servicio de Medicina Transfusional. </w:t>
      </w:r>
    </w:p>
    <w:p w:rsidR="000F0A50" w:rsidRPr="007A72BF" w:rsidRDefault="000F0A50" w:rsidP="000F0A50">
      <w:pPr>
        <w:numPr>
          <w:ilvl w:val="0"/>
          <w:numId w:val="14"/>
        </w:numPr>
        <w:spacing w:line="276" w:lineRule="auto"/>
        <w:ind w:left="851" w:hanging="284"/>
        <w:jc w:val="both"/>
        <w:rPr>
          <w:rFonts w:ascii="Arial" w:hAnsi="Arial" w:cs="Arial"/>
          <w:sz w:val="22"/>
          <w:szCs w:val="22"/>
        </w:rPr>
      </w:pPr>
      <w:r w:rsidRPr="007A72BF">
        <w:rPr>
          <w:rFonts w:ascii="Arial" w:hAnsi="Arial" w:cs="Arial"/>
          <w:sz w:val="22"/>
          <w:szCs w:val="22"/>
        </w:rPr>
        <w:t xml:space="preserve">Adquirir terminología adecuada para lograr la eficiente comunicación </w:t>
      </w:r>
      <w:proofErr w:type="spellStart"/>
      <w:r w:rsidRPr="007A72BF">
        <w:rPr>
          <w:rFonts w:ascii="Arial" w:hAnsi="Arial" w:cs="Arial"/>
          <w:sz w:val="22"/>
          <w:szCs w:val="22"/>
        </w:rPr>
        <w:t>interdiscipinaria</w:t>
      </w:r>
      <w:proofErr w:type="spellEnd"/>
      <w:r w:rsidRPr="007A72BF">
        <w:rPr>
          <w:rFonts w:ascii="Arial" w:hAnsi="Arial" w:cs="Arial"/>
          <w:sz w:val="22"/>
          <w:szCs w:val="22"/>
        </w:rPr>
        <w:t>.</w:t>
      </w:r>
    </w:p>
    <w:p w:rsidR="000F0A50" w:rsidRPr="007A72BF" w:rsidRDefault="000F0A50" w:rsidP="000F0A50">
      <w:pPr>
        <w:numPr>
          <w:ilvl w:val="0"/>
          <w:numId w:val="14"/>
        </w:numPr>
        <w:spacing w:line="276" w:lineRule="auto"/>
        <w:ind w:left="851" w:hanging="284"/>
        <w:jc w:val="both"/>
        <w:rPr>
          <w:rFonts w:ascii="Arial" w:hAnsi="Arial" w:cs="Arial"/>
          <w:sz w:val="22"/>
          <w:szCs w:val="22"/>
        </w:rPr>
      </w:pPr>
      <w:r>
        <w:rPr>
          <w:rFonts w:ascii="Arial" w:hAnsi="Arial" w:cs="Arial"/>
          <w:sz w:val="22"/>
          <w:szCs w:val="22"/>
        </w:rPr>
        <w:t>Reconocerlos cambios patológicos que se generan en</w:t>
      </w:r>
      <w:r w:rsidRPr="007A72BF">
        <w:rPr>
          <w:rFonts w:ascii="Arial" w:hAnsi="Arial" w:cs="Arial"/>
          <w:sz w:val="22"/>
          <w:szCs w:val="22"/>
        </w:rPr>
        <w:t xml:space="preserve"> los elementos formes de la sangre.</w:t>
      </w:r>
    </w:p>
    <w:p w:rsidR="000F0A50" w:rsidRPr="007A72BF" w:rsidRDefault="000F0A50" w:rsidP="000F0A50">
      <w:pPr>
        <w:numPr>
          <w:ilvl w:val="0"/>
          <w:numId w:val="14"/>
        </w:numPr>
        <w:spacing w:line="276" w:lineRule="auto"/>
        <w:ind w:left="851" w:hanging="284"/>
        <w:jc w:val="both"/>
        <w:rPr>
          <w:rFonts w:ascii="Arial" w:hAnsi="Arial" w:cs="Arial"/>
          <w:sz w:val="22"/>
          <w:szCs w:val="22"/>
        </w:rPr>
      </w:pPr>
      <w:r w:rsidRPr="007A72BF">
        <w:rPr>
          <w:rFonts w:ascii="Arial" w:hAnsi="Arial" w:cs="Arial"/>
          <w:sz w:val="22"/>
          <w:szCs w:val="22"/>
        </w:rPr>
        <w:lastRenderedPageBreak/>
        <w:t xml:space="preserve">Explicar correctamente conceptos generales de la </w:t>
      </w:r>
      <w:proofErr w:type="spellStart"/>
      <w:r>
        <w:rPr>
          <w:rFonts w:ascii="Arial" w:hAnsi="Arial" w:cs="Arial"/>
          <w:sz w:val="22"/>
          <w:szCs w:val="22"/>
        </w:rPr>
        <w:t>inmunohematología</w:t>
      </w:r>
      <w:proofErr w:type="spellEnd"/>
      <w:r w:rsidRPr="007A72BF">
        <w:rPr>
          <w:rFonts w:ascii="Arial" w:hAnsi="Arial" w:cs="Arial"/>
          <w:sz w:val="22"/>
          <w:szCs w:val="22"/>
        </w:rPr>
        <w:t xml:space="preserve"> y adquirir niveles de alerta para situaciones patológicas que interesen a la medicina transfusional</w:t>
      </w:r>
    </w:p>
    <w:p w:rsidR="000F0A50" w:rsidRPr="007A72BF" w:rsidRDefault="000F0A50" w:rsidP="000F0A50">
      <w:pPr>
        <w:numPr>
          <w:ilvl w:val="0"/>
          <w:numId w:val="14"/>
        </w:numPr>
        <w:spacing w:line="276" w:lineRule="auto"/>
        <w:ind w:left="851" w:hanging="284"/>
        <w:jc w:val="both"/>
        <w:rPr>
          <w:rFonts w:ascii="Arial" w:hAnsi="Arial" w:cs="Arial"/>
          <w:sz w:val="22"/>
          <w:szCs w:val="22"/>
        </w:rPr>
      </w:pPr>
      <w:r w:rsidRPr="007A72BF">
        <w:rPr>
          <w:rFonts w:ascii="Arial" w:hAnsi="Arial" w:cs="Arial"/>
          <w:sz w:val="22"/>
          <w:szCs w:val="22"/>
        </w:rPr>
        <w:t xml:space="preserve">Reconocer e interpretar correctamente los valores normales de laboratorio </w:t>
      </w:r>
      <w:r>
        <w:rPr>
          <w:rFonts w:ascii="Arial" w:hAnsi="Arial" w:cs="Arial"/>
          <w:sz w:val="22"/>
          <w:szCs w:val="22"/>
        </w:rPr>
        <w:t xml:space="preserve">y sus </w:t>
      </w:r>
      <w:r w:rsidRPr="007A72BF">
        <w:rPr>
          <w:rFonts w:ascii="Arial" w:hAnsi="Arial" w:cs="Arial"/>
          <w:sz w:val="22"/>
          <w:szCs w:val="22"/>
        </w:rPr>
        <w:t xml:space="preserve">variables </w:t>
      </w:r>
      <w:r>
        <w:rPr>
          <w:rFonts w:ascii="Arial" w:hAnsi="Arial" w:cs="Arial"/>
          <w:sz w:val="22"/>
          <w:szCs w:val="22"/>
        </w:rPr>
        <w:t>relacionadas con los trastornos inmunohematológicos,e</w:t>
      </w:r>
      <w:r w:rsidRPr="007A72BF">
        <w:rPr>
          <w:rFonts w:ascii="Arial" w:hAnsi="Arial" w:cs="Arial"/>
          <w:sz w:val="22"/>
          <w:szCs w:val="22"/>
        </w:rPr>
        <w:t>n particular parámetros de laboratorio asociados a hemólisis</w:t>
      </w:r>
      <w:r>
        <w:rPr>
          <w:rFonts w:ascii="Arial" w:hAnsi="Arial" w:cs="Arial"/>
          <w:sz w:val="22"/>
          <w:szCs w:val="22"/>
        </w:rPr>
        <w:t>.</w:t>
      </w:r>
    </w:p>
    <w:p w:rsidR="000F0A50" w:rsidRDefault="000F0A50" w:rsidP="000F0A50">
      <w:pPr>
        <w:numPr>
          <w:ilvl w:val="0"/>
          <w:numId w:val="14"/>
        </w:numPr>
        <w:spacing w:line="276" w:lineRule="auto"/>
        <w:ind w:left="851" w:hanging="284"/>
        <w:jc w:val="both"/>
        <w:rPr>
          <w:rFonts w:ascii="Arial" w:hAnsi="Arial" w:cs="Arial"/>
          <w:sz w:val="22"/>
          <w:szCs w:val="22"/>
        </w:rPr>
      </w:pPr>
      <w:r w:rsidRPr="007A72BF">
        <w:rPr>
          <w:rFonts w:ascii="Arial" w:hAnsi="Arial" w:cs="Arial"/>
          <w:sz w:val="22"/>
          <w:szCs w:val="22"/>
        </w:rPr>
        <w:t xml:space="preserve">Identificar y comprender los distintos </w:t>
      </w:r>
      <w:r>
        <w:rPr>
          <w:rFonts w:ascii="Arial" w:hAnsi="Arial" w:cs="Arial"/>
          <w:sz w:val="22"/>
          <w:szCs w:val="22"/>
        </w:rPr>
        <w:t>algoritmos que permitan alcanzar el correcto diagnóstico inmunohematológico de la patología</w:t>
      </w:r>
      <w:r w:rsidRPr="007A72BF">
        <w:rPr>
          <w:rFonts w:ascii="Arial" w:hAnsi="Arial" w:cs="Arial"/>
          <w:sz w:val="22"/>
          <w:szCs w:val="22"/>
        </w:rPr>
        <w:t xml:space="preserve">. </w:t>
      </w:r>
    </w:p>
    <w:p w:rsidR="000F0A50" w:rsidRPr="007A72BF" w:rsidRDefault="000F0A50" w:rsidP="000F0A50">
      <w:pPr>
        <w:numPr>
          <w:ilvl w:val="0"/>
          <w:numId w:val="14"/>
        </w:numPr>
        <w:spacing w:line="276" w:lineRule="auto"/>
        <w:ind w:left="851" w:hanging="284"/>
        <w:jc w:val="both"/>
        <w:rPr>
          <w:rFonts w:ascii="Arial" w:hAnsi="Arial" w:cs="Arial"/>
          <w:sz w:val="22"/>
          <w:szCs w:val="22"/>
        </w:rPr>
      </w:pPr>
      <w:r>
        <w:rPr>
          <w:rFonts w:ascii="Arial" w:hAnsi="Arial" w:cs="Arial"/>
          <w:sz w:val="22"/>
          <w:szCs w:val="22"/>
        </w:rPr>
        <w:t>Saber aplicar los métodos y procedimientos inmunohematológicos adecuados a cada patología que permitan contribuir a una terapia o sostén transfusional más eficiente y seguro.</w:t>
      </w:r>
    </w:p>
    <w:p w:rsidR="000F0A50" w:rsidRDefault="000F0A50" w:rsidP="000F0A50">
      <w:pPr>
        <w:pStyle w:val="Sinespaciado"/>
        <w:jc w:val="both"/>
        <w:rPr>
          <w:rFonts w:ascii="Arial" w:hAnsi="Arial" w:cs="Arial"/>
          <w:b/>
          <w:u w:val="single"/>
          <w:lang w:val="es-ES_tradnl"/>
        </w:rPr>
      </w:pPr>
    </w:p>
    <w:p w:rsidR="000F0A50" w:rsidRDefault="000F0A50" w:rsidP="000F0A50">
      <w:pPr>
        <w:pStyle w:val="Sinespaciado"/>
        <w:jc w:val="both"/>
        <w:rPr>
          <w:rFonts w:ascii="Arial" w:hAnsi="Arial" w:cs="Arial"/>
          <w:b/>
          <w:u w:val="single"/>
          <w:lang w:val="es-ES_tradnl"/>
        </w:rPr>
      </w:pPr>
      <w:r w:rsidRPr="00F3293F">
        <w:rPr>
          <w:rFonts w:ascii="Arial" w:hAnsi="Arial" w:cs="Arial"/>
          <w:b/>
          <w:u w:val="single"/>
          <w:lang w:val="es-ES_tradnl"/>
        </w:rPr>
        <w:t xml:space="preserve">Objetivos </w:t>
      </w:r>
      <w:r>
        <w:rPr>
          <w:rFonts w:ascii="Arial" w:hAnsi="Arial" w:cs="Arial"/>
          <w:b/>
          <w:u w:val="single"/>
          <w:lang w:val="es-ES_tradnl"/>
        </w:rPr>
        <w:t>específicos</w:t>
      </w:r>
      <w:r w:rsidRPr="00F3293F">
        <w:rPr>
          <w:rFonts w:ascii="Arial" w:hAnsi="Arial" w:cs="Arial"/>
          <w:b/>
          <w:u w:val="single"/>
          <w:lang w:val="es-ES_tradnl"/>
        </w:rPr>
        <w:t>:</w:t>
      </w:r>
    </w:p>
    <w:p w:rsidR="000F0A50" w:rsidRDefault="000F0A50" w:rsidP="000F0A50">
      <w:pPr>
        <w:pStyle w:val="Normal1"/>
      </w:pPr>
    </w:p>
    <w:p w:rsidR="000F0A50" w:rsidRPr="000F0A50" w:rsidRDefault="000F0A50" w:rsidP="000F0A50">
      <w:pPr>
        <w:pStyle w:val="Normal1"/>
        <w:numPr>
          <w:ilvl w:val="0"/>
          <w:numId w:val="16"/>
        </w:numPr>
        <w:tabs>
          <w:tab w:val="clear" w:pos="1428"/>
          <w:tab w:val="num" w:pos="851"/>
        </w:tabs>
        <w:ind w:left="851" w:hanging="284"/>
        <w:jc w:val="both"/>
      </w:pPr>
      <w:r w:rsidRPr="000F0A50">
        <w:rPr>
          <w:lang w:val="es-AR"/>
        </w:rPr>
        <w:t xml:space="preserve">Reconocer la importancia de la existencia de anticuerpos </w:t>
      </w:r>
      <w:proofErr w:type="spellStart"/>
      <w:r w:rsidRPr="000F0A50">
        <w:rPr>
          <w:lang w:val="es-AR"/>
        </w:rPr>
        <w:t>antihemáticos</w:t>
      </w:r>
      <w:proofErr w:type="spellEnd"/>
      <w:r w:rsidRPr="000F0A50">
        <w:rPr>
          <w:lang w:val="es-AR"/>
        </w:rPr>
        <w:t xml:space="preserve"> en los pacientes de </w:t>
      </w:r>
      <w:r w:rsidRPr="000F0A50">
        <w:t>diversas situaciones clínicas</w:t>
      </w:r>
      <w:r w:rsidRPr="000F0A50">
        <w:rPr>
          <w:lang w:val="es-AR"/>
        </w:rPr>
        <w:t>. Diferenciar los parámetros que distinguen los anticuerpos entre los clínicamente significativos y los irrelevantes. Conocer la existencia de los ensayos funcionales que permiten diferenciarlos. Interpretar los distintos valores predictivos que tiene la Prueba Antiglobulínica Directa en función de las distintas situaciones clínicas de los pacientes y sus antecedentes.</w:t>
      </w:r>
    </w:p>
    <w:p w:rsidR="000F0A50" w:rsidRPr="000F0A50" w:rsidRDefault="000F0A50" w:rsidP="000F0A50">
      <w:pPr>
        <w:pStyle w:val="Normal1"/>
        <w:numPr>
          <w:ilvl w:val="0"/>
          <w:numId w:val="16"/>
        </w:numPr>
        <w:tabs>
          <w:tab w:val="clear" w:pos="1428"/>
          <w:tab w:val="num" w:pos="851"/>
        </w:tabs>
        <w:ind w:left="851" w:hanging="284"/>
        <w:jc w:val="both"/>
        <w:rPr>
          <w:lang w:val="es-AR"/>
        </w:rPr>
      </w:pPr>
      <w:r w:rsidRPr="000F0A50">
        <w:rPr>
          <w:lang w:val="es-AR"/>
        </w:rPr>
        <w:t xml:space="preserve">Estudiar la </w:t>
      </w:r>
      <w:proofErr w:type="spellStart"/>
      <w:r w:rsidRPr="000F0A50">
        <w:rPr>
          <w:lang w:val="es-AR"/>
        </w:rPr>
        <w:t>inmunohematología</w:t>
      </w:r>
      <w:proofErr w:type="spellEnd"/>
      <w:r w:rsidRPr="000F0A50">
        <w:rPr>
          <w:lang w:val="es-AR"/>
        </w:rPr>
        <w:t xml:space="preserve"> de pacientes embarazadas, puérperas y recién nacidos para contribuir a la prevención y/o el tratamiento de trastornos hemolíticos. Efectuar estudios de compatibilidad sanguínea conyugal. Participar en la indicación de la inmunoprofilaxis anti-D, realizando la cuantificación de la hemorragia </w:t>
      </w:r>
      <w:proofErr w:type="spellStart"/>
      <w:r w:rsidRPr="000F0A50">
        <w:rPr>
          <w:lang w:val="es-AR"/>
        </w:rPr>
        <w:t>fetomaterna</w:t>
      </w:r>
      <w:proofErr w:type="spellEnd"/>
      <w:r w:rsidRPr="000F0A50">
        <w:rPr>
          <w:lang w:val="es-AR"/>
        </w:rPr>
        <w:t xml:space="preserve">. Detectar, identificar y cuantificar anticuerpos irregulares en las pacientes obstétricas, interpretar los resultados </w:t>
      </w:r>
      <w:proofErr w:type="spellStart"/>
      <w:r w:rsidRPr="000F0A50">
        <w:rPr>
          <w:lang w:val="es-AR"/>
        </w:rPr>
        <w:t>laboratoriales</w:t>
      </w:r>
      <w:proofErr w:type="spellEnd"/>
      <w:r w:rsidRPr="000F0A50">
        <w:rPr>
          <w:lang w:val="es-AR"/>
        </w:rPr>
        <w:t>, e informar los hallazgos al profesional Médico Especialista. Realizar e interpretar técnicas inmunohematológicas alternativas, bajo algoritmos que surgen de recomendaciones de probado valor científico.</w:t>
      </w:r>
    </w:p>
    <w:p w:rsidR="000F0A50" w:rsidRPr="000F0A50" w:rsidRDefault="000F0A50" w:rsidP="000F0A50">
      <w:pPr>
        <w:pStyle w:val="Normal1"/>
        <w:numPr>
          <w:ilvl w:val="0"/>
          <w:numId w:val="16"/>
        </w:numPr>
        <w:tabs>
          <w:tab w:val="clear" w:pos="1428"/>
          <w:tab w:val="num" w:pos="851"/>
        </w:tabs>
        <w:ind w:left="851" w:hanging="284"/>
        <w:jc w:val="both"/>
        <w:rPr>
          <w:lang w:val="es-AR"/>
        </w:rPr>
      </w:pPr>
      <w:r w:rsidRPr="000F0A50">
        <w:rPr>
          <w:lang w:val="es-AR"/>
        </w:rPr>
        <w:t xml:space="preserve">Estudiar la </w:t>
      </w:r>
      <w:proofErr w:type="spellStart"/>
      <w:r w:rsidRPr="000F0A50">
        <w:rPr>
          <w:lang w:val="es-AR"/>
        </w:rPr>
        <w:t>inmunohematología</w:t>
      </w:r>
      <w:proofErr w:type="spellEnd"/>
      <w:r w:rsidRPr="000F0A50">
        <w:rPr>
          <w:lang w:val="es-AR"/>
        </w:rPr>
        <w:t xml:space="preserve"> de pacientes con Anemia Hemolítica Auto-Inmune y efectuar los diagnósticos diferenciales de laboratorio. Saber reconocer e implementar los parámetros de laboratorio que contribuyen al diagnóstico diferencial de los pacientes con un Test </w:t>
      </w:r>
      <w:proofErr w:type="spellStart"/>
      <w:r w:rsidRPr="000F0A50">
        <w:rPr>
          <w:lang w:val="es-AR"/>
        </w:rPr>
        <w:t>Antiglobulínico</w:t>
      </w:r>
      <w:proofErr w:type="spellEnd"/>
      <w:r w:rsidRPr="000F0A50">
        <w:rPr>
          <w:lang w:val="es-AR"/>
        </w:rPr>
        <w:t xml:space="preserve"> Directo positivo. Separar in Vitro los glóbulos rojos autólogos de los transfundidos. Saber cuándo y cómo emplear técnicas de elución de anticuerpos </w:t>
      </w:r>
      <w:proofErr w:type="spellStart"/>
      <w:r w:rsidRPr="000F0A50">
        <w:rPr>
          <w:lang w:val="es-AR"/>
        </w:rPr>
        <w:t>antieritrocitarios</w:t>
      </w:r>
      <w:proofErr w:type="spellEnd"/>
      <w:r w:rsidRPr="000F0A50">
        <w:rPr>
          <w:lang w:val="es-AR"/>
        </w:rPr>
        <w:t xml:space="preserve">. Excluir en estos pacientes la existencia de aloanticuerpos subyacentes u ocultos. Saber seleccionar el </w:t>
      </w:r>
      <w:proofErr w:type="spellStart"/>
      <w:r w:rsidRPr="000F0A50">
        <w:rPr>
          <w:lang w:val="es-AR"/>
        </w:rPr>
        <w:t>hemocomponente</w:t>
      </w:r>
      <w:proofErr w:type="spellEnd"/>
      <w:r w:rsidRPr="000F0A50">
        <w:rPr>
          <w:lang w:val="es-AR"/>
        </w:rPr>
        <w:t xml:space="preserve"> a transfundir más adecuado a cada caso. Detectar anticuerpos contra fármacos como contribución al diagnóstico de anemias hemolíticas droga-inducidas. </w:t>
      </w:r>
    </w:p>
    <w:p w:rsidR="000F0A50" w:rsidRPr="000F0A50" w:rsidRDefault="000F0A50" w:rsidP="000F0A50">
      <w:pPr>
        <w:pStyle w:val="Normal1"/>
        <w:numPr>
          <w:ilvl w:val="0"/>
          <w:numId w:val="16"/>
        </w:numPr>
        <w:tabs>
          <w:tab w:val="clear" w:pos="1428"/>
          <w:tab w:val="num" w:pos="851"/>
        </w:tabs>
        <w:ind w:left="851" w:hanging="284"/>
        <w:jc w:val="both"/>
        <w:rPr>
          <w:lang w:val="es-AR"/>
        </w:rPr>
      </w:pPr>
      <w:r w:rsidRPr="000F0A50">
        <w:t xml:space="preserve">Conocer la existencia de antígenos y anticuerpos anti-plaquetarios específicos y los pertenecientes al sistema HLA, en relación a las transfusiones sanguíneas. Reconocer cuál es el rol que estos anticuerpos tienen en el </w:t>
      </w:r>
      <w:proofErr w:type="spellStart"/>
      <w:r w:rsidRPr="000F0A50">
        <w:t>transplante</w:t>
      </w:r>
      <w:proofErr w:type="spellEnd"/>
      <w:r w:rsidRPr="000F0A50">
        <w:t xml:space="preserve"> y la responsabilidad que tienen en las reacciones febriles no hemolíticas. Conocer el mecanismo fisiopatológico de la </w:t>
      </w:r>
      <w:proofErr w:type="spellStart"/>
      <w:r w:rsidRPr="000F0A50">
        <w:t>Trombocitopenia</w:t>
      </w:r>
      <w:proofErr w:type="spellEnd"/>
      <w:r w:rsidRPr="000F0A50">
        <w:t xml:space="preserve"> </w:t>
      </w:r>
      <w:proofErr w:type="spellStart"/>
      <w:r w:rsidRPr="000F0A50">
        <w:t>Aloinmune</w:t>
      </w:r>
      <w:proofErr w:type="spellEnd"/>
      <w:r w:rsidRPr="000F0A50">
        <w:t xml:space="preserve"> Neonatal y la  Neutropenia </w:t>
      </w:r>
      <w:proofErr w:type="spellStart"/>
      <w:r w:rsidRPr="000F0A50">
        <w:t>Alo</w:t>
      </w:r>
      <w:proofErr w:type="spellEnd"/>
      <w:r w:rsidRPr="000F0A50">
        <w:t>-inmune Neonatal y sus posibilidades diagnósticas y terapéuticas.</w:t>
      </w:r>
    </w:p>
    <w:p w:rsidR="000F0A50" w:rsidRPr="000F0A50" w:rsidRDefault="000F0A50" w:rsidP="000F0A50">
      <w:pPr>
        <w:pStyle w:val="Normal1"/>
        <w:numPr>
          <w:ilvl w:val="0"/>
          <w:numId w:val="16"/>
        </w:numPr>
        <w:tabs>
          <w:tab w:val="clear" w:pos="1428"/>
          <w:tab w:val="num" w:pos="851"/>
        </w:tabs>
        <w:ind w:left="851" w:hanging="284"/>
        <w:jc w:val="both"/>
        <w:rPr>
          <w:lang w:val="es-AR"/>
        </w:rPr>
      </w:pPr>
      <w:r w:rsidRPr="000F0A50">
        <w:lastRenderedPageBreak/>
        <w:t xml:space="preserve">Saber reconocer precozmente la aparición clínica de aquellos signos y síntomas que conforman las Reacciones </w:t>
      </w:r>
      <w:proofErr w:type="spellStart"/>
      <w:r w:rsidRPr="000F0A50">
        <w:t>Pos</w:t>
      </w:r>
      <w:r w:rsidR="00102774">
        <w:t>t</w:t>
      </w:r>
      <w:r w:rsidRPr="000F0A50">
        <w:t>ransfusionales</w:t>
      </w:r>
      <w:proofErr w:type="spellEnd"/>
      <w:r w:rsidRPr="000F0A50">
        <w:t xml:space="preserve"> de tipo Hemolíticas. Saber aplicar las acciones preventivas para evitar los mayores daños en esas circunstancias. Saber definir el diagnóstico de refractariedad plaquetaria causada por anticuerpos </w:t>
      </w:r>
      <w:r w:rsidR="00102774">
        <w:t>a</w:t>
      </w:r>
      <w:r w:rsidRPr="000F0A50">
        <w:t xml:space="preserve">nti-HLA y/o </w:t>
      </w:r>
      <w:r w:rsidR="00102774">
        <w:t>a</w:t>
      </w:r>
      <w:r w:rsidRPr="000F0A50">
        <w:t>nti-</w:t>
      </w:r>
      <w:r w:rsidR="00102774">
        <w:t>p</w:t>
      </w:r>
      <w:r w:rsidRPr="000F0A50">
        <w:t xml:space="preserve">laquetarios y cómo contribuir a la selección de plaquetas para transfundir a un receptor con </w:t>
      </w:r>
      <w:proofErr w:type="spellStart"/>
      <w:r w:rsidRPr="000F0A50">
        <w:t>refractariedad</w:t>
      </w:r>
      <w:proofErr w:type="spellEnd"/>
      <w:r w:rsidRPr="000F0A50">
        <w:t xml:space="preserve"> </w:t>
      </w:r>
      <w:proofErr w:type="spellStart"/>
      <w:r w:rsidRPr="000F0A50">
        <w:t>aloinmune</w:t>
      </w:r>
      <w:proofErr w:type="spellEnd"/>
      <w:r w:rsidRPr="000F0A50">
        <w:t>. Reconocer aquellas situaciones clínicas que ameritan una prevención de la aloinmunización mediante leucorreducción. Saber reconocer precozmente la aparición clínica de Injuria Pulmonar Aguda Relacionada con Transfusión (TRALI) y Púrpura Pos</w:t>
      </w:r>
      <w:r w:rsidR="00102774">
        <w:t>t</w:t>
      </w:r>
      <w:r w:rsidRPr="000F0A50">
        <w:t>ransfusional. Reconocer aquellas situaciones clínicas que ameritan una prevención de la Enfermedad Injerto versus Huésped Postransfusional.</w:t>
      </w:r>
      <w:r w:rsidRPr="000F0A50">
        <w:tab/>
      </w:r>
    </w:p>
    <w:p w:rsidR="000F0A50" w:rsidRPr="000F0A50" w:rsidRDefault="000F0A50" w:rsidP="000F0A50">
      <w:pPr>
        <w:pStyle w:val="Normal1"/>
        <w:rPr>
          <w:lang w:val="es-AR"/>
        </w:rPr>
      </w:pPr>
    </w:p>
    <w:p w:rsidR="000F0A50" w:rsidRPr="0019162E" w:rsidRDefault="000F0A50" w:rsidP="000F0A50">
      <w:pPr>
        <w:pStyle w:val="Normal1"/>
      </w:pPr>
    </w:p>
    <w:p w:rsidR="00721484" w:rsidRDefault="00721484" w:rsidP="00986BCE">
      <w:pPr>
        <w:pStyle w:val="Sinespaciado"/>
        <w:jc w:val="both"/>
        <w:rPr>
          <w:rFonts w:ascii="Arial" w:hAnsi="Arial" w:cs="Arial"/>
          <w:b/>
          <w:u w:val="single"/>
          <w:lang w:val="es-ES_tradnl"/>
        </w:rPr>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F3293F" w:rsidRPr="00F3293F" w:rsidRDefault="00F3293F" w:rsidP="00181451">
      <w:pPr>
        <w:pStyle w:val="Sinespaciado"/>
        <w:jc w:val="both"/>
        <w:rPr>
          <w:rFonts w:ascii="Arial" w:hAnsi="Arial" w:cs="Arial"/>
          <w:b/>
          <w:u w:val="single"/>
          <w:lang w:val="es-ES_tradnl"/>
        </w:rPr>
      </w:pPr>
    </w:p>
    <w:p w:rsidR="000F0A50" w:rsidRPr="000F0A50" w:rsidRDefault="000F0A50" w:rsidP="000F0A50">
      <w:pPr>
        <w:pStyle w:val="Sinespaciado"/>
        <w:numPr>
          <w:ilvl w:val="0"/>
          <w:numId w:val="17"/>
        </w:numPr>
        <w:tabs>
          <w:tab w:val="clear" w:pos="1428"/>
          <w:tab w:val="num" w:pos="284"/>
        </w:tabs>
        <w:spacing w:line="276" w:lineRule="auto"/>
        <w:ind w:left="0" w:firstLine="0"/>
        <w:jc w:val="both"/>
        <w:rPr>
          <w:rFonts w:ascii="Arial" w:hAnsi="Arial" w:cs="Arial"/>
        </w:rPr>
      </w:pPr>
      <w:r w:rsidRPr="000F0A50">
        <w:rPr>
          <w:rFonts w:ascii="Arial" w:hAnsi="Arial" w:cs="Arial"/>
          <w:b/>
          <w:bCs/>
        </w:rPr>
        <w:t>Nociones generales de patología hematológica</w:t>
      </w:r>
      <w:r w:rsidRPr="000F0A50">
        <w:rPr>
          <w:rFonts w:ascii="Arial" w:hAnsi="Arial" w:cs="Arial"/>
        </w:rPr>
        <w:t>.</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Hematimetría: determinación del hematocrito y </w:t>
      </w:r>
      <w:proofErr w:type="spellStart"/>
      <w:r w:rsidRPr="000F0A50">
        <w:rPr>
          <w:rFonts w:ascii="Arial" w:hAnsi="Arial" w:cs="Arial"/>
        </w:rPr>
        <w:t>dosaje</w:t>
      </w:r>
      <w:proofErr w:type="spellEnd"/>
      <w:r w:rsidRPr="000F0A50">
        <w:rPr>
          <w:rFonts w:ascii="Arial" w:hAnsi="Arial" w:cs="Arial"/>
        </w:rPr>
        <w:t xml:space="preserve"> de la hemoglobina. Hematíes: valores normales de acuerdo con edad y sexo. Anemia: definición, fisiopatología. Clasificación morfológica. Nociones de diagnóstico y tratamiento: signos y síntomas de la anemia versus los de la pérdida aguda de sangre. Indicaciones de la transfusión de glóbulos rojos en pacientes con anemia aguda y crónica. Plaquetas: transfusión para corregir una  </w:t>
      </w:r>
      <w:proofErr w:type="spellStart"/>
      <w:r w:rsidRPr="000F0A50">
        <w:rPr>
          <w:rFonts w:ascii="Arial" w:hAnsi="Arial" w:cs="Arial"/>
        </w:rPr>
        <w:t>trombocitopatía</w:t>
      </w:r>
      <w:proofErr w:type="spellEnd"/>
      <w:r w:rsidRPr="000F0A50">
        <w:rPr>
          <w:rFonts w:ascii="Arial" w:hAnsi="Arial" w:cs="Arial"/>
        </w:rPr>
        <w:t xml:space="preserve">. La transfusión de plaquetas profiláctica versus preventiva. Variaciones </w:t>
      </w:r>
      <w:proofErr w:type="spellStart"/>
      <w:r w:rsidRPr="000F0A50">
        <w:rPr>
          <w:rFonts w:ascii="Arial" w:hAnsi="Arial" w:cs="Arial"/>
        </w:rPr>
        <w:t>cuali</w:t>
      </w:r>
      <w:proofErr w:type="spellEnd"/>
      <w:r w:rsidRPr="000F0A50">
        <w:rPr>
          <w:rFonts w:ascii="Arial" w:hAnsi="Arial" w:cs="Arial"/>
        </w:rPr>
        <w:t xml:space="preserve"> y cuantitativas leucocitarias: Leucopenias y leucocitosis. Enfermedades que las provocan. </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El paciente que porta anticuerpos anti-hemáticos y su importancia en diversas situaciones clínicas: la Reacción Hemolítica Transfusional (RHT), la Enfermedad Hemolítica Feto-Neonatal (EHFN) y la Anemia Hemolítica </w:t>
      </w:r>
      <w:proofErr w:type="spellStart"/>
      <w:r w:rsidRPr="000F0A50">
        <w:rPr>
          <w:rFonts w:ascii="Arial" w:hAnsi="Arial" w:cs="Arial"/>
        </w:rPr>
        <w:t>AutoInmune</w:t>
      </w:r>
      <w:proofErr w:type="spellEnd"/>
      <w:r w:rsidRPr="000F0A50">
        <w:rPr>
          <w:rFonts w:ascii="Arial" w:hAnsi="Arial" w:cs="Arial"/>
        </w:rPr>
        <w:t xml:space="preserve"> (AHAI). Factores que afectan la significación clínica de los anticuerpos determinando la existencia de anticuerpos clínicamente relevantes y anticuerpos no significativos: subclase, especificidad, concentración, amplitud térmica, actividad del sistema monocito-</w:t>
      </w:r>
      <w:proofErr w:type="spellStart"/>
      <w:r w:rsidRPr="000F0A50">
        <w:rPr>
          <w:rFonts w:ascii="Arial" w:hAnsi="Arial" w:cs="Arial"/>
        </w:rPr>
        <w:t>macrofágico</w:t>
      </w:r>
      <w:proofErr w:type="spellEnd"/>
      <w:r w:rsidRPr="000F0A50">
        <w:rPr>
          <w:rFonts w:ascii="Arial" w:hAnsi="Arial" w:cs="Arial"/>
        </w:rPr>
        <w:t xml:space="preserve">, densidad antigénica, movilidad antigénica en la membrana, volumen transfundido, neutralización del anticuerpo con sustancias solubles de grupo sanguíneo, etc. El rol del Complemento y su contribución en la importancia clínico-transfusional de los anticuerpos. Hemólisis Infra y extra-vascular. La importancia de la detección e identificación de los anticuerpos. Importancia y diferencias entre los </w:t>
      </w:r>
      <w:proofErr w:type="spellStart"/>
      <w:r w:rsidRPr="000F0A50">
        <w:rPr>
          <w:rFonts w:ascii="Arial" w:hAnsi="Arial" w:cs="Arial"/>
        </w:rPr>
        <w:t>alo</w:t>
      </w:r>
      <w:proofErr w:type="spellEnd"/>
      <w:r w:rsidRPr="000F0A50">
        <w:rPr>
          <w:rFonts w:ascii="Arial" w:hAnsi="Arial" w:cs="Arial"/>
        </w:rPr>
        <w:t xml:space="preserve">- y los auto-anticuerpos. Ensayos para evaluar la potencial relevancia de los anticuerpos basados en los mecanismos de destrucción eritrocitaria </w:t>
      </w:r>
      <w:r w:rsidRPr="000F0A50">
        <w:rPr>
          <w:rFonts w:ascii="Arial" w:hAnsi="Arial" w:cs="Arial"/>
          <w:i/>
          <w:iCs/>
        </w:rPr>
        <w:t>in vivo</w:t>
      </w:r>
      <w:r w:rsidRPr="000F0A50">
        <w:rPr>
          <w:rFonts w:ascii="Arial" w:hAnsi="Arial" w:cs="Arial"/>
        </w:rPr>
        <w:t xml:space="preserve">: test de </w:t>
      </w:r>
      <w:proofErr w:type="spellStart"/>
      <w:r w:rsidRPr="000F0A50">
        <w:rPr>
          <w:rFonts w:ascii="Arial" w:hAnsi="Arial" w:cs="Arial"/>
        </w:rPr>
        <w:t>monocapamonocítica</w:t>
      </w:r>
      <w:proofErr w:type="spellEnd"/>
      <w:r w:rsidRPr="000F0A50">
        <w:rPr>
          <w:rFonts w:ascii="Arial" w:hAnsi="Arial" w:cs="Arial"/>
        </w:rPr>
        <w:t xml:space="preserve"> (MMA), quimioluminiscencia (CLT), citotoxicidad mediada por células dependientes de anticuerpos (ADCC), etc. Sangre antígeno-negativo versus pruebas de compatibilidad.</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La Prueba de Antiglobulina Directa positiva y hemólisis de causa inmunológica. Estudio e interpretación de una PAD positiva. La contribución del ensayo de elución de anticuerpos. Antecedentes de relevancia en el paciente.</w:t>
      </w:r>
    </w:p>
    <w:p w:rsidR="000F0A50" w:rsidRDefault="000F0A50" w:rsidP="000F0A50">
      <w:pPr>
        <w:pStyle w:val="Sinespaciado"/>
        <w:tabs>
          <w:tab w:val="num" w:pos="284"/>
        </w:tabs>
        <w:spacing w:line="276" w:lineRule="auto"/>
        <w:jc w:val="both"/>
        <w:rPr>
          <w:rFonts w:ascii="Arial" w:hAnsi="Arial" w:cs="Arial"/>
        </w:rPr>
      </w:pPr>
    </w:p>
    <w:p w:rsidR="00934AE9" w:rsidRDefault="00934AE9" w:rsidP="000F0A50">
      <w:pPr>
        <w:pStyle w:val="Sinespaciado"/>
        <w:tabs>
          <w:tab w:val="num" w:pos="284"/>
        </w:tabs>
        <w:spacing w:line="276" w:lineRule="auto"/>
        <w:jc w:val="both"/>
        <w:rPr>
          <w:rFonts w:ascii="Arial" w:hAnsi="Arial" w:cs="Arial"/>
        </w:rPr>
      </w:pPr>
    </w:p>
    <w:p w:rsidR="00934AE9" w:rsidRPr="000F0A50" w:rsidRDefault="00934AE9" w:rsidP="000F0A50">
      <w:pPr>
        <w:pStyle w:val="Sinespaciado"/>
        <w:tabs>
          <w:tab w:val="num" w:pos="284"/>
        </w:tabs>
        <w:spacing w:line="276" w:lineRule="auto"/>
        <w:jc w:val="both"/>
        <w:rPr>
          <w:rFonts w:ascii="Arial" w:hAnsi="Arial" w:cs="Arial"/>
        </w:rPr>
      </w:pPr>
    </w:p>
    <w:p w:rsidR="000F0A50" w:rsidRPr="000F0A50" w:rsidRDefault="000F0A50" w:rsidP="000F0A50">
      <w:pPr>
        <w:pStyle w:val="Sinespaciado"/>
        <w:numPr>
          <w:ilvl w:val="0"/>
          <w:numId w:val="17"/>
        </w:numPr>
        <w:tabs>
          <w:tab w:val="clear" w:pos="1428"/>
          <w:tab w:val="num" w:pos="284"/>
        </w:tabs>
        <w:spacing w:line="276" w:lineRule="auto"/>
        <w:ind w:left="0" w:firstLine="0"/>
        <w:jc w:val="both"/>
        <w:rPr>
          <w:rFonts w:ascii="Arial" w:hAnsi="Arial" w:cs="Arial"/>
          <w:b/>
          <w:bCs/>
        </w:rPr>
      </w:pPr>
      <w:r w:rsidRPr="000F0A50">
        <w:rPr>
          <w:rFonts w:ascii="Arial" w:hAnsi="Arial" w:cs="Arial"/>
          <w:b/>
          <w:bCs/>
        </w:rPr>
        <w:lastRenderedPageBreak/>
        <w:t>Enfermedad Hemolítica Feto-Neonatal (EHFN)</w:t>
      </w:r>
      <w:r w:rsidRPr="000F0A50">
        <w:rPr>
          <w:rFonts w:ascii="Arial" w:hAnsi="Arial" w:cs="Arial"/>
        </w:rPr>
        <w:t>.</w:t>
      </w:r>
    </w:p>
    <w:p w:rsidR="000F0A50" w:rsidRPr="000F0A50" w:rsidRDefault="000F0A50" w:rsidP="000F0A50">
      <w:pPr>
        <w:pStyle w:val="Sinespaciado"/>
        <w:tabs>
          <w:tab w:val="num" w:pos="284"/>
        </w:tabs>
        <w:spacing w:line="276" w:lineRule="auto"/>
        <w:jc w:val="both"/>
        <w:rPr>
          <w:rFonts w:ascii="Arial" w:hAnsi="Arial" w:cs="Arial"/>
          <w:b/>
          <w:bCs/>
        </w:rPr>
      </w:pPr>
      <w:r w:rsidRPr="000F0A50">
        <w:rPr>
          <w:rFonts w:ascii="Arial" w:hAnsi="Arial" w:cs="Arial"/>
        </w:rPr>
        <w:t>Fisiopatología. Clasificación. Causas de aloinmunización materna. Compatibilidad Sanguínea Conyugal. Diagnóstico de anemia, hidropesía fetal y hemólisis feto-neonatal. Diagnóstico y tratamiento: estudios serológicos y moleculares. La titulación de anticuerpos para la detección temprana de la EHFN. Control y manejo.</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Tratamientos: La Transfusión Intra</w:t>
      </w:r>
      <w:r w:rsidR="00102774">
        <w:rPr>
          <w:rFonts w:ascii="Arial" w:hAnsi="Arial" w:cs="Arial"/>
        </w:rPr>
        <w:t>u</w:t>
      </w:r>
      <w:r w:rsidRPr="000F0A50">
        <w:rPr>
          <w:rFonts w:ascii="Arial" w:hAnsi="Arial" w:cs="Arial"/>
        </w:rPr>
        <w:t xml:space="preserve">terina (TIU). Técnicas e indicaciones. Selección de sangre para una TIU. Administración de Gammaglobulina </w:t>
      </w:r>
      <w:proofErr w:type="spellStart"/>
      <w:r w:rsidRPr="000F0A50">
        <w:rPr>
          <w:rFonts w:ascii="Arial" w:hAnsi="Arial" w:cs="Arial"/>
        </w:rPr>
        <w:t>IgG</w:t>
      </w:r>
      <w:proofErr w:type="spellEnd"/>
      <w:r w:rsidRPr="000F0A50">
        <w:rPr>
          <w:rFonts w:ascii="Arial" w:hAnsi="Arial" w:cs="Arial"/>
        </w:rPr>
        <w:t xml:space="preserve"> Total </w:t>
      </w:r>
      <w:proofErr w:type="spellStart"/>
      <w:r w:rsidRPr="000F0A50">
        <w:rPr>
          <w:rFonts w:ascii="Arial" w:hAnsi="Arial" w:cs="Arial"/>
        </w:rPr>
        <w:t>endovenosa</w:t>
      </w:r>
      <w:proofErr w:type="spellEnd"/>
      <w:r w:rsidRPr="000F0A50">
        <w:rPr>
          <w:rFonts w:ascii="Arial" w:hAnsi="Arial" w:cs="Arial"/>
        </w:rPr>
        <w:t xml:space="preserve">. Exanguinotransfusión. </w:t>
      </w:r>
      <w:proofErr w:type="spellStart"/>
      <w:r w:rsidRPr="000F0A50">
        <w:rPr>
          <w:rFonts w:ascii="Arial" w:hAnsi="Arial" w:cs="Arial"/>
        </w:rPr>
        <w:t>Luminoterapia</w:t>
      </w:r>
      <w:proofErr w:type="spellEnd"/>
      <w:r w:rsidRPr="000F0A50">
        <w:rPr>
          <w:rFonts w:ascii="Arial" w:hAnsi="Arial" w:cs="Arial"/>
        </w:rPr>
        <w:t>.</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Prevención: Inmunoglobulina Rh (</w:t>
      </w:r>
      <w:proofErr w:type="spellStart"/>
      <w:r w:rsidRPr="000F0A50">
        <w:rPr>
          <w:rFonts w:ascii="Arial" w:hAnsi="Arial" w:cs="Arial"/>
        </w:rPr>
        <w:t>IgGRh</w:t>
      </w:r>
      <w:proofErr w:type="spellEnd"/>
      <w:r w:rsidRPr="000F0A50">
        <w:rPr>
          <w:rFonts w:ascii="Arial" w:hAnsi="Arial" w:cs="Arial"/>
        </w:rPr>
        <w:t xml:space="preserve">): mecanismos de acción postulados y controles serológicos. </w:t>
      </w:r>
      <w:r w:rsidRPr="000F0A50">
        <w:rPr>
          <w:rFonts w:ascii="Arial" w:hAnsi="Arial" w:cs="Arial"/>
          <w:iCs/>
        </w:rPr>
        <w:t xml:space="preserve">Administración </w:t>
      </w:r>
      <w:proofErr w:type="spellStart"/>
      <w:r w:rsidRPr="000F0A50">
        <w:rPr>
          <w:rFonts w:ascii="Arial" w:hAnsi="Arial" w:cs="Arial"/>
          <w:iCs/>
        </w:rPr>
        <w:t>anteparto</w:t>
      </w:r>
      <w:proofErr w:type="spellEnd"/>
      <w:r w:rsidRPr="000F0A50">
        <w:rPr>
          <w:rFonts w:ascii="Arial" w:hAnsi="Arial" w:cs="Arial"/>
          <w:iCs/>
        </w:rPr>
        <w:t xml:space="preserve"> y posparto.</w:t>
      </w:r>
      <w:r w:rsidRPr="000F0A50">
        <w:rPr>
          <w:rFonts w:ascii="Arial" w:hAnsi="Arial" w:cs="Arial"/>
        </w:rPr>
        <w:t xml:space="preserve"> Dosificación de la </w:t>
      </w:r>
      <w:proofErr w:type="spellStart"/>
      <w:r w:rsidRPr="000F0A50">
        <w:rPr>
          <w:rFonts w:ascii="Arial" w:hAnsi="Arial" w:cs="Arial"/>
        </w:rPr>
        <w:t>IgGRh</w:t>
      </w:r>
      <w:proofErr w:type="spellEnd"/>
      <w:r w:rsidRPr="000F0A50">
        <w:rPr>
          <w:rFonts w:ascii="Arial" w:hAnsi="Arial" w:cs="Arial"/>
        </w:rPr>
        <w:t xml:space="preserve">. Cuantificación de la hemorragia feto-materna: test de la elución ácida de </w:t>
      </w:r>
      <w:proofErr w:type="spellStart"/>
      <w:r w:rsidRPr="000F0A50">
        <w:rPr>
          <w:rFonts w:ascii="Arial" w:hAnsi="Arial" w:cs="Arial"/>
        </w:rPr>
        <w:t>Kleihauer-Betke</w:t>
      </w:r>
      <w:proofErr w:type="spellEnd"/>
      <w:r w:rsidRPr="000F0A50">
        <w:rPr>
          <w:rFonts w:ascii="Arial" w:hAnsi="Arial" w:cs="Arial"/>
        </w:rPr>
        <w:t xml:space="preserve"> y otros métodos. Cálculo de la dosis de </w:t>
      </w:r>
      <w:proofErr w:type="spellStart"/>
      <w:r w:rsidRPr="000F0A50">
        <w:rPr>
          <w:rFonts w:ascii="Arial" w:hAnsi="Arial" w:cs="Arial"/>
        </w:rPr>
        <w:t>IgGRh</w:t>
      </w:r>
      <w:proofErr w:type="spellEnd"/>
      <w:r w:rsidRPr="000F0A50">
        <w:rPr>
          <w:rFonts w:ascii="Arial" w:hAnsi="Arial" w:cs="Arial"/>
        </w:rPr>
        <w:t xml:space="preserve"> según la magnitud de la hemorragia feto-materna.</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EHFN por ABO. EHFN por ABO, Rh y otros anticuerpos: Similitudes y diferencias en la correlación de hallazgos </w:t>
      </w:r>
      <w:proofErr w:type="spellStart"/>
      <w:r w:rsidRPr="000F0A50">
        <w:rPr>
          <w:rFonts w:ascii="Arial" w:hAnsi="Arial" w:cs="Arial"/>
        </w:rPr>
        <w:t>laboratoriales</w:t>
      </w:r>
      <w:proofErr w:type="spellEnd"/>
      <w:r w:rsidRPr="000F0A50">
        <w:rPr>
          <w:rFonts w:ascii="Arial" w:hAnsi="Arial" w:cs="Arial"/>
        </w:rPr>
        <w:t xml:space="preserve"> con el diagnóstico, tratamiento, evolución y pronóstico.</w:t>
      </w:r>
    </w:p>
    <w:p w:rsidR="000F0A50" w:rsidRPr="000F0A50" w:rsidRDefault="000F0A50" w:rsidP="000F0A50">
      <w:pPr>
        <w:pStyle w:val="Sinespaciado"/>
        <w:tabs>
          <w:tab w:val="num" w:pos="284"/>
        </w:tabs>
        <w:spacing w:line="276" w:lineRule="auto"/>
        <w:jc w:val="both"/>
        <w:rPr>
          <w:rFonts w:ascii="Arial" w:hAnsi="Arial" w:cs="Arial"/>
          <w:b/>
          <w:bCs/>
        </w:rPr>
      </w:pPr>
    </w:p>
    <w:p w:rsidR="000F0A50" w:rsidRPr="000F0A50" w:rsidRDefault="000F0A50" w:rsidP="000F0A50">
      <w:pPr>
        <w:pStyle w:val="Sinespaciado"/>
        <w:numPr>
          <w:ilvl w:val="0"/>
          <w:numId w:val="17"/>
        </w:numPr>
        <w:tabs>
          <w:tab w:val="clear" w:pos="1428"/>
          <w:tab w:val="num" w:pos="284"/>
        </w:tabs>
        <w:spacing w:line="276" w:lineRule="auto"/>
        <w:ind w:left="0" w:firstLine="0"/>
        <w:jc w:val="both"/>
        <w:rPr>
          <w:rFonts w:ascii="Arial" w:hAnsi="Arial" w:cs="Arial"/>
        </w:rPr>
      </w:pPr>
      <w:r w:rsidRPr="000F0A50">
        <w:rPr>
          <w:rFonts w:ascii="Arial" w:hAnsi="Arial" w:cs="Arial"/>
          <w:b/>
          <w:bCs/>
        </w:rPr>
        <w:t>Anemia Hemolítica Auto-Inmune (AHAI)</w:t>
      </w:r>
      <w:r w:rsidRPr="000F0A50">
        <w:rPr>
          <w:rFonts w:ascii="Arial" w:hAnsi="Arial" w:cs="Arial"/>
        </w:rPr>
        <w:t>.</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Clasificación de anemias hemolíticas inmunes. Definición de AHAI. Incidencia. Fisiopatología. Nociones sobre clínicas y tratamientos. Hallazgos serológicos típicos en las AHAI. El paciente con AHAI transfundido recientemente: métodos de separación de los glóbulos rojos autólogos de los transfundidos.</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AHAI Caliente. Problemas serológicos. Elución de anticuerpos. Adsorción con glóbulos rojos </w:t>
      </w:r>
      <w:proofErr w:type="spellStart"/>
      <w:r w:rsidRPr="000F0A50">
        <w:rPr>
          <w:rFonts w:ascii="Arial" w:hAnsi="Arial" w:cs="Arial"/>
        </w:rPr>
        <w:t>autólogos</w:t>
      </w:r>
      <w:proofErr w:type="spellEnd"/>
      <w:r w:rsidRPr="000F0A50">
        <w:rPr>
          <w:rFonts w:ascii="Arial" w:hAnsi="Arial" w:cs="Arial"/>
        </w:rPr>
        <w:t xml:space="preserve"> (</w:t>
      </w:r>
      <w:proofErr w:type="spellStart"/>
      <w:r w:rsidRPr="000F0A50">
        <w:rPr>
          <w:rFonts w:ascii="Arial" w:hAnsi="Arial" w:cs="Arial"/>
        </w:rPr>
        <w:t>autoadsorción</w:t>
      </w:r>
      <w:proofErr w:type="spellEnd"/>
      <w:r w:rsidRPr="000F0A50">
        <w:rPr>
          <w:rFonts w:ascii="Arial" w:hAnsi="Arial" w:cs="Arial"/>
        </w:rPr>
        <w:t xml:space="preserve">) en caliente. Adsorción con glóbulos rojos </w:t>
      </w:r>
      <w:proofErr w:type="spellStart"/>
      <w:r w:rsidRPr="000F0A50">
        <w:rPr>
          <w:rFonts w:ascii="Arial" w:hAnsi="Arial" w:cs="Arial"/>
        </w:rPr>
        <w:t>alogénicos</w:t>
      </w:r>
      <w:proofErr w:type="spellEnd"/>
      <w:r w:rsidRPr="000F0A50">
        <w:rPr>
          <w:rFonts w:ascii="Arial" w:hAnsi="Arial" w:cs="Arial"/>
        </w:rPr>
        <w:t>. Pruebas del suero adsorbido. Especificidad del auto-anticuerpo. Especificidad relacionada al Sistema Rh. Especificidades que mimetizan aloanticuerpos Rh y otros. Selección de sangre para transfusión. Transfusión en pacientes con auto-anticuerpos calientes. AHAI que cursan con PAD negativa.</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La AHAI Fría ó Síndrome de </w:t>
      </w:r>
      <w:proofErr w:type="spellStart"/>
      <w:r w:rsidRPr="000F0A50">
        <w:rPr>
          <w:rFonts w:ascii="Arial" w:hAnsi="Arial" w:cs="Arial"/>
        </w:rPr>
        <w:t>Crioaglutininas</w:t>
      </w:r>
      <w:proofErr w:type="spellEnd"/>
      <w:r w:rsidRPr="000F0A50">
        <w:rPr>
          <w:rFonts w:ascii="Arial" w:hAnsi="Arial" w:cs="Arial"/>
        </w:rPr>
        <w:t xml:space="preserve">. Características serológicas. Problemas serológicos. La auto-aglutinación. Utilización de reactivos </w:t>
      </w:r>
      <w:proofErr w:type="spellStart"/>
      <w:r w:rsidRPr="000F0A50">
        <w:rPr>
          <w:rFonts w:ascii="Arial" w:hAnsi="Arial" w:cs="Arial"/>
        </w:rPr>
        <w:t>sulfhidrilos</w:t>
      </w:r>
      <w:proofErr w:type="spellEnd"/>
      <w:r w:rsidRPr="000F0A50">
        <w:rPr>
          <w:rFonts w:ascii="Arial" w:hAnsi="Arial" w:cs="Arial"/>
        </w:rPr>
        <w:t xml:space="preserve"> para dispersar la autoaglutinación. Detección de aloanticuerpos en presencia de crioaglutininas. Empleo de reactivos </w:t>
      </w:r>
      <w:proofErr w:type="spellStart"/>
      <w:r w:rsidRPr="000F0A50">
        <w:rPr>
          <w:rFonts w:ascii="Arial" w:hAnsi="Arial" w:cs="Arial"/>
        </w:rPr>
        <w:t>sulfhidrilo</w:t>
      </w:r>
      <w:proofErr w:type="spellEnd"/>
      <w:r w:rsidRPr="000F0A50">
        <w:rPr>
          <w:rFonts w:ascii="Arial" w:hAnsi="Arial" w:cs="Arial"/>
        </w:rPr>
        <w:t xml:space="preserve"> para distinguir los anticuerpos </w:t>
      </w:r>
      <w:proofErr w:type="spellStart"/>
      <w:r w:rsidRPr="000F0A50">
        <w:rPr>
          <w:rFonts w:ascii="Arial" w:hAnsi="Arial" w:cs="Arial"/>
        </w:rPr>
        <w:t>IgM</w:t>
      </w:r>
      <w:proofErr w:type="spellEnd"/>
      <w:r w:rsidRPr="000F0A50">
        <w:rPr>
          <w:rFonts w:ascii="Arial" w:hAnsi="Arial" w:cs="Arial"/>
        </w:rPr>
        <w:t xml:space="preserve"> de </w:t>
      </w:r>
      <w:proofErr w:type="spellStart"/>
      <w:r w:rsidRPr="000F0A50">
        <w:rPr>
          <w:rFonts w:ascii="Arial" w:hAnsi="Arial" w:cs="Arial"/>
        </w:rPr>
        <w:t>IgG</w:t>
      </w:r>
      <w:proofErr w:type="spellEnd"/>
      <w:r w:rsidRPr="000F0A50">
        <w:rPr>
          <w:rFonts w:ascii="Arial" w:hAnsi="Arial" w:cs="Arial"/>
        </w:rPr>
        <w:t xml:space="preserve">: 2-mercaptoetanol (2-ME), </w:t>
      </w:r>
      <w:proofErr w:type="spellStart"/>
      <w:r w:rsidRPr="000F0A50">
        <w:rPr>
          <w:rFonts w:ascii="Arial" w:hAnsi="Arial" w:cs="Arial"/>
        </w:rPr>
        <w:t>Ditiotreitol</w:t>
      </w:r>
      <w:proofErr w:type="spellEnd"/>
      <w:r w:rsidRPr="000F0A50">
        <w:rPr>
          <w:rFonts w:ascii="Arial" w:hAnsi="Arial" w:cs="Arial"/>
        </w:rPr>
        <w:t xml:space="preserve"> (DTT) o Bromuro de 2-aminoetilisotiouronio (AET). Adsorción con glóbulos rojos </w:t>
      </w:r>
      <w:proofErr w:type="spellStart"/>
      <w:r w:rsidRPr="000F0A50">
        <w:rPr>
          <w:rFonts w:ascii="Arial" w:hAnsi="Arial" w:cs="Arial"/>
        </w:rPr>
        <w:t>autólogos</w:t>
      </w:r>
      <w:proofErr w:type="spellEnd"/>
      <w:r w:rsidRPr="000F0A50">
        <w:rPr>
          <w:rFonts w:ascii="Arial" w:hAnsi="Arial" w:cs="Arial"/>
        </w:rPr>
        <w:t xml:space="preserve"> (</w:t>
      </w:r>
      <w:proofErr w:type="spellStart"/>
      <w:r w:rsidRPr="000F0A50">
        <w:rPr>
          <w:rFonts w:ascii="Arial" w:hAnsi="Arial" w:cs="Arial"/>
        </w:rPr>
        <w:t>autoadsorción</w:t>
      </w:r>
      <w:proofErr w:type="spellEnd"/>
      <w:r w:rsidRPr="000F0A50">
        <w:rPr>
          <w:rFonts w:ascii="Arial" w:hAnsi="Arial" w:cs="Arial"/>
        </w:rPr>
        <w:t xml:space="preserve">) en frío. Especificidad de la </w:t>
      </w:r>
      <w:proofErr w:type="spellStart"/>
      <w:r w:rsidRPr="000F0A50">
        <w:rPr>
          <w:rFonts w:ascii="Arial" w:hAnsi="Arial" w:cs="Arial"/>
        </w:rPr>
        <w:t>crioaglutinina</w:t>
      </w:r>
      <w:proofErr w:type="spellEnd"/>
      <w:r w:rsidRPr="000F0A50">
        <w:rPr>
          <w:rFonts w:ascii="Arial" w:hAnsi="Arial" w:cs="Arial"/>
        </w:rPr>
        <w:t>. Transfusión de pacientes con Síndrome de Crioaglutininas.</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AHAI de tipo Mixto. Características serológicas. Especificidad de los auto-anticuerpos. Transfusión en pacientes con AHAI de tipo mixto. Hemoglobinuria Paroxística a </w:t>
      </w:r>
      <w:proofErr w:type="spellStart"/>
      <w:r w:rsidRPr="000F0A50">
        <w:rPr>
          <w:rFonts w:ascii="Arial" w:hAnsi="Arial" w:cs="Arial"/>
        </w:rPr>
        <w:t>frigore</w:t>
      </w:r>
      <w:proofErr w:type="spellEnd"/>
      <w:r w:rsidRPr="000F0A50">
        <w:rPr>
          <w:rFonts w:ascii="Arial" w:hAnsi="Arial" w:cs="Arial"/>
        </w:rPr>
        <w:t xml:space="preserve"> (fría) (HPF). Características serológicas. Especificidad del auto-anticuerpo. Prueba de </w:t>
      </w:r>
      <w:proofErr w:type="spellStart"/>
      <w:r w:rsidRPr="000F0A50">
        <w:rPr>
          <w:rFonts w:ascii="Arial" w:hAnsi="Arial" w:cs="Arial"/>
        </w:rPr>
        <w:t>Donath-Landsteiner</w:t>
      </w:r>
      <w:proofErr w:type="spellEnd"/>
      <w:r w:rsidRPr="000F0A50">
        <w:rPr>
          <w:rFonts w:ascii="Arial" w:hAnsi="Arial" w:cs="Arial"/>
        </w:rPr>
        <w:t xml:space="preserve">. Transfusión en pacientes con HPF. </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Anemia hemolítica inmune inducida por Drogas. Mecanismos teóricos para la síntesis de anticuerpos inducidos por drogas. Clasificación serológica y clínica. Anticuerpos droga-dependientes reactivos con los hematíes tratados con la droga. Anticuerpos droga-dependientes reactivos con hematíes no tratados en presencia de la droga. Anticuerpos droga-independientes: producción de auto-anticuerpos. Adsorción proteica no inmunológica. Investigaciones de laboratorio en  la hemólisis inducida por drogas. Drogas y medicamentos asociados con una PAD positiva y/o anemia hemolítica inmune.</w:t>
      </w:r>
    </w:p>
    <w:p w:rsidR="000F0A50" w:rsidRPr="000F0A50" w:rsidRDefault="000F0A50" w:rsidP="000F0A50">
      <w:pPr>
        <w:pStyle w:val="Sinespaciado"/>
        <w:tabs>
          <w:tab w:val="num" w:pos="284"/>
        </w:tabs>
        <w:spacing w:line="276" w:lineRule="auto"/>
        <w:jc w:val="both"/>
        <w:rPr>
          <w:rFonts w:ascii="Arial" w:hAnsi="Arial" w:cs="Arial"/>
        </w:rPr>
      </w:pPr>
    </w:p>
    <w:p w:rsidR="000F0A50" w:rsidRPr="000F0A50" w:rsidRDefault="000F0A50" w:rsidP="000F0A50">
      <w:pPr>
        <w:pStyle w:val="Sinespaciado"/>
        <w:numPr>
          <w:ilvl w:val="0"/>
          <w:numId w:val="17"/>
        </w:numPr>
        <w:tabs>
          <w:tab w:val="clear" w:pos="1428"/>
          <w:tab w:val="num" w:pos="284"/>
        </w:tabs>
        <w:spacing w:line="276" w:lineRule="auto"/>
        <w:ind w:left="0" w:firstLine="0"/>
        <w:jc w:val="both"/>
        <w:rPr>
          <w:rFonts w:ascii="Arial" w:hAnsi="Arial" w:cs="Arial"/>
        </w:rPr>
      </w:pPr>
      <w:r w:rsidRPr="000F0A50">
        <w:rPr>
          <w:rFonts w:ascii="Arial" w:hAnsi="Arial" w:cs="Arial"/>
          <w:b/>
          <w:bCs/>
        </w:rPr>
        <w:lastRenderedPageBreak/>
        <w:t>Antígenos y anticuerpos de Plaquetas y Granulocitos</w:t>
      </w:r>
      <w:r w:rsidRPr="000F0A50">
        <w:rPr>
          <w:rFonts w:ascii="Arial" w:hAnsi="Arial" w:cs="Arial"/>
        </w:rPr>
        <w:t>.</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Antígenos y anticuerpos anti-plaquetarios. Los antígenos ABO en las plaquetas. El sistema HLA. Características, función biológica y papel de las moléculas de antígenos HLA de Clase I y de Clase II. Antígenos HLA en plaquetas. El sistema HLA y la transfusión. Reacciones febriles no hemolíticas. Prueba cruzada y detección de anticuerpos HLA. Tipificación HLA y trasplante. Trasplantes de Células Progenitoras Hematopoyéticas (CPH): </w:t>
      </w:r>
      <w:proofErr w:type="spellStart"/>
      <w:r w:rsidR="00102774">
        <w:rPr>
          <w:rFonts w:ascii="Arial" w:hAnsi="Arial" w:cs="Arial"/>
        </w:rPr>
        <w:t>t</w:t>
      </w:r>
      <w:r w:rsidRPr="000F0A50">
        <w:rPr>
          <w:rFonts w:ascii="Arial" w:hAnsi="Arial" w:cs="Arial"/>
        </w:rPr>
        <w:t>ransplante</w:t>
      </w:r>
      <w:proofErr w:type="spellEnd"/>
      <w:r w:rsidRPr="000F0A50">
        <w:rPr>
          <w:rFonts w:ascii="Arial" w:hAnsi="Arial" w:cs="Arial"/>
        </w:rPr>
        <w:t xml:space="preserve"> con CPH ABO compatibles y con incompatibilidad ABO mayor, menor o bidireccional. Complicaciones en los trasplantes ABO-incompatibles. Incompatibilidad relacionada con antígenos distintos al ABO. Receptores de CPH con anticuerpos anti-HLA y/o anti-plaquetarios. Trasplante renal y otros trasplantes de órganos sólidos. Otros aspectos clínicamente significativos del HLA. Enfermedades asociadas al sistema HLA. Antígenos específicos de plaquetas. </w:t>
      </w:r>
      <w:proofErr w:type="spellStart"/>
      <w:r w:rsidRPr="000F0A50">
        <w:rPr>
          <w:rFonts w:ascii="Arial" w:hAnsi="Arial" w:cs="Arial"/>
        </w:rPr>
        <w:t>Trombocitopenia</w:t>
      </w:r>
      <w:proofErr w:type="spellEnd"/>
      <w:r w:rsidRPr="000F0A50">
        <w:rPr>
          <w:rFonts w:ascii="Arial" w:hAnsi="Arial" w:cs="Arial"/>
        </w:rPr>
        <w:t xml:space="preserve"> </w:t>
      </w:r>
      <w:proofErr w:type="spellStart"/>
      <w:r w:rsidRPr="000F0A50">
        <w:rPr>
          <w:rFonts w:ascii="Arial" w:hAnsi="Arial" w:cs="Arial"/>
        </w:rPr>
        <w:t>Aloinmune</w:t>
      </w:r>
      <w:proofErr w:type="spellEnd"/>
      <w:r w:rsidRPr="000F0A50">
        <w:rPr>
          <w:rFonts w:ascii="Arial" w:hAnsi="Arial" w:cs="Arial"/>
        </w:rPr>
        <w:t xml:space="preserve"> Neonatal: fisiopatología, diagnóstico y tratamiento. Pruebas para detección de anticuerpos y antígenos específicos en plaquetas. Auto-anticuerpos plaquetarios. Trombocitopenia inducida por Heparina. Antígenos y anticuerpos anti-granulocitos. Neutropenia </w:t>
      </w:r>
      <w:proofErr w:type="spellStart"/>
      <w:r w:rsidRPr="000F0A50">
        <w:rPr>
          <w:rFonts w:ascii="Arial" w:hAnsi="Arial" w:cs="Arial"/>
        </w:rPr>
        <w:t>Aloinmune</w:t>
      </w:r>
      <w:proofErr w:type="spellEnd"/>
      <w:r w:rsidRPr="000F0A50">
        <w:rPr>
          <w:rFonts w:ascii="Arial" w:hAnsi="Arial" w:cs="Arial"/>
        </w:rPr>
        <w:t xml:space="preserve"> Neonatal. Neutropenia auto-inmune.</w:t>
      </w:r>
    </w:p>
    <w:p w:rsidR="000F0A50" w:rsidRPr="000F0A50" w:rsidRDefault="000F0A50" w:rsidP="000F0A50">
      <w:pPr>
        <w:pStyle w:val="Sinespaciado"/>
        <w:tabs>
          <w:tab w:val="num" w:pos="284"/>
        </w:tabs>
        <w:spacing w:line="276" w:lineRule="auto"/>
        <w:jc w:val="both"/>
        <w:rPr>
          <w:rFonts w:ascii="Arial" w:hAnsi="Arial" w:cs="Arial"/>
        </w:rPr>
      </w:pPr>
    </w:p>
    <w:p w:rsidR="000F0A50" w:rsidRPr="000F0A50" w:rsidRDefault="000F0A50" w:rsidP="000F0A50">
      <w:pPr>
        <w:pStyle w:val="Sinespaciado"/>
        <w:numPr>
          <w:ilvl w:val="0"/>
          <w:numId w:val="17"/>
        </w:numPr>
        <w:tabs>
          <w:tab w:val="clear" w:pos="1428"/>
          <w:tab w:val="num" w:pos="284"/>
        </w:tabs>
        <w:spacing w:line="276" w:lineRule="auto"/>
        <w:ind w:left="0" w:firstLine="0"/>
        <w:jc w:val="both"/>
        <w:rPr>
          <w:rFonts w:ascii="Arial" w:hAnsi="Arial" w:cs="Arial"/>
        </w:rPr>
      </w:pPr>
      <w:r w:rsidRPr="000F0A50">
        <w:rPr>
          <w:rFonts w:ascii="Arial" w:hAnsi="Arial" w:cs="Arial"/>
          <w:b/>
          <w:bCs/>
        </w:rPr>
        <w:t xml:space="preserve">Reacciones </w:t>
      </w:r>
      <w:proofErr w:type="spellStart"/>
      <w:r w:rsidRPr="000F0A50">
        <w:rPr>
          <w:rFonts w:ascii="Arial" w:hAnsi="Arial" w:cs="Arial"/>
          <w:b/>
          <w:bCs/>
        </w:rPr>
        <w:t>Pos</w:t>
      </w:r>
      <w:r w:rsidR="00102774">
        <w:rPr>
          <w:rFonts w:ascii="Arial" w:hAnsi="Arial" w:cs="Arial"/>
          <w:b/>
          <w:bCs/>
        </w:rPr>
        <w:t>t</w:t>
      </w:r>
      <w:r w:rsidRPr="000F0A50">
        <w:rPr>
          <w:rFonts w:ascii="Arial" w:hAnsi="Arial" w:cs="Arial"/>
          <w:b/>
          <w:bCs/>
        </w:rPr>
        <w:t>ransfusionales</w:t>
      </w:r>
      <w:proofErr w:type="spellEnd"/>
      <w:r w:rsidRPr="000F0A50">
        <w:rPr>
          <w:rFonts w:ascii="Arial" w:hAnsi="Arial" w:cs="Arial"/>
          <w:b/>
          <w:bCs/>
        </w:rPr>
        <w:t xml:space="preserve"> de base </w:t>
      </w:r>
      <w:proofErr w:type="spellStart"/>
      <w:r w:rsidRPr="000F0A50">
        <w:rPr>
          <w:rFonts w:ascii="Arial" w:hAnsi="Arial" w:cs="Arial"/>
          <w:b/>
          <w:bCs/>
        </w:rPr>
        <w:t>inmunohematológica</w:t>
      </w:r>
      <w:proofErr w:type="spellEnd"/>
      <w:r w:rsidRPr="000F0A50">
        <w:rPr>
          <w:rFonts w:ascii="Arial" w:hAnsi="Arial" w:cs="Arial"/>
        </w:rPr>
        <w:t>.</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Reacciones Hemolíticas </w:t>
      </w:r>
      <w:proofErr w:type="spellStart"/>
      <w:r w:rsidRPr="000F0A50">
        <w:rPr>
          <w:rFonts w:ascii="Arial" w:hAnsi="Arial" w:cs="Arial"/>
        </w:rPr>
        <w:t>Pos</w:t>
      </w:r>
      <w:r w:rsidR="00102774">
        <w:rPr>
          <w:rFonts w:ascii="Arial" w:hAnsi="Arial" w:cs="Arial"/>
        </w:rPr>
        <w:t>t</w:t>
      </w:r>
      <w:r w:rsidRPr="000F0A50">
        <w:rPr>
          <w:rFonts w:ascii="Arial" w:hAnsi="Arial" w:cs="Arial"/>
        </w:rPr>
        <w:t>ransfusionales</w:t>
      </w:r>
      <w:proofErr w:type="spellEnd"/>
      <w:r w:rsidRPr="000F0A50">
        <w:rPr>
          <w:rFonts w:ascii="Arial" w:hAnsi="Arial" w:cs="Arial"/>
        </w:rPr>
        <w:t xml:space="preserve"> Agudas: Incompatibilidad sanguínea por ABO y por otros anticuerpos. Presentación. Diagnóstico diferencial. Fisiopatología. Frecuencia. Tratamiento y consecuencias. Reacciones Hemolíticas </w:t>
      </w:r>
      <w:proofErr w:type="spellStart"/>
      <w:r w:rsidRPr="000F0A50">
        <w:rPr>
          <w:rFonts w:ascii="Arial" w:hAnsi="Arial" w:cs="Arial"/>
        </w:rPr>
        <w:t>Pos</w:t>
      </w:r>
      <w:r w:rsidR="00102774">
        <w:rPr>
          <w:rFonts w:ascii="Arial" w:hAnsi="Arial" w:cs="Arial"/>
        </w:rPr>
        <w:t>t</w:t>
      </w:r>
      <w:r w:rsidRPr="000F0A50">
        <w:rPr>
          <w:rFonts w:ascii="Arial" w:hAnsi="Arial" w:cs="Arial"/>
        </w:rPr>
        <w:t>ransfusionales</w:t>
      </w:r>
      <w:proofErr w:type="spellEnd"/>
      <w:r w:rsidRPr="000F0A50">
        <w:rPr>
          <w:rFonts w:ascii="Arial" w:hAnsi="Arial" w:cs="Arial"/>
        </w:rPr>
        <w:t xml:space="preserve"> Tardías o Retardadas: Presentación. Diagnóstico diferencial. Fisiopatología. Frecuencia. Tratamiento. Prevención.</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 xml:space="preserve">Refractariedad a las transfusiones de concentrados plaquetarios (refractariedad plaquetaria): Diagnóstico de la </w:t>
      </w:r>
      <w:proofErr w:type="spellStart"/>
      <w:r w:rsidRPr="000F0A50">
        <w:rPr>
          <w:rFonts w:ascii="Arial" w:hAnsi="Arial" w:cs="Arial"/>
        </w:rPr>
        <w:t>refractariedad</w:t>
      </w:r>
      <w:proofErr w:type="spellEnd"/>
      <w:r w:rsidRPr="000F0A50">
        <w:rPr>
          <w:rFonts w:ascii="Arial" w:hAnsi="Arial" w:cs="Arial"/>
        </w:rPr>
        <w:t xml:space="preserve"> </w:t>
      </w:r>
      <w:proofErr w:type="spellStart"/>
      <w:r w:rsidRPr="000F0A50">
        <w:rPr>
          <w:rFonts w:ascii="Arial" w:hAnsi="Arial" w:cs="Arial"/>
        </w:rPr>
        <w:t>aloinmune</w:t>
      </w:r>
      <w:proofErr w:type="spellEnd"/>
      <w:r w:rsidRPr="000F0A50">
        <w:rPr>
          <w:rFonts w:ascii="Arial" w:hAnsi="Arial" w:cs="Arial"/>
        </w:rPr>
        <w:t xml:space="preserve"> causada por anticuerpos Anti-HLA y/o Anti-Plaquetarios. Selección de plaquetas para transfundir a un receptor con </w:t>
      </w:r>
      <w:proofErr w:type="spellStart"/>
      <w:r w:rsidRPr="000F0A50">
        <w:rPr>
          <w:rFonts w:ascii="Arial" w:hAnsi="Arial" w:cs="Arial"/>
        </w:rPr>
        <w:t>refractariedad</w:t>
      </w:r>
      <w:proofErr w:type="spellEnd"/>
      <w:r w:rsidRPr="000F0A50">
        <w:rPr>
          <w:rFonts w:ascii="Arial" w:hAnsi="Arial" w:cs="Arial"/>
        </w:rPr>
        <w:t xml:space="preserve"> </w:t>
      </w:r>
      <w:proofErr w:type="spellStart"/>
      <w:r w:rsidRPr="000F0A50">
        <w:rPr>
          <w:rFonts w:ascii="Arial" w:hAnsi="Arial" w:cs="Arial"/>
        </w:rPr>
        <w:t>aloinmune</w:t>
      </w:r>
      <w:proofErr w:type="spellEnd"/>
      <w:r w:rsidRPr="000F0A50">
        <w:rPr>
          <w:rFonts w:ascii="Arial" w:hAnsi="Arial" w:cs="Arial"/>
        </w:rPr>
        <w:t>. Prevención de la aloinmunización. Leucorreducción.</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Injuria Pulmonar Aguda Relacionada con Transfusión (TRALI): Presentación. Diagnóstico diferencial. Fisiopatología. Frecuencia. Tratamiento. Prevención.</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Enfermedad Injerto versus Huésped Postransfusional: Presentación. Diagnóstico diferencial. Fisiopatología. Tratamiento. Prevención.</w:t>
      </w:r>
    </w:p>
    <w:p w:rsidR="000F0A50" w:rsidRPr="000F0A50" w:rsidRDefault="000F0A50" w:rsidP="000F0A50">
      <w:pPr>
        <w:pStyle w:val="Sinespaciado"/>
        <w:tabs>
          <w:tab w:val="num" w:pos="284"/>
        </w:tabs>
        <w:spacing w:line="276" w:lineRule="auto"/>
        <w:jc w:val="both"/>
        <w:rPr>
          <w:rFonts w:ascii="Arial" w:hAnsi="Arial" w:cs="Arial"/>
        </w:rPr>
      </w:pPr>
      <w:r w:rsidRPr="000F0A50">
        <w:rPr>
          <w:rFonts w:ascii="Arial" w:hAnsi="Arial" w:cs="Arial"/>
        </w:rPr>
        <w:t>Púrpura Pos</w:t>
      </w:r>
      <w:r w:rsidR="00102774">
        <w:rPr>
          <w:rFonts w:ascii="Arial" w:hAnsi="Arial" w:cs="Arial"/>
        </w:rPr>
        <w:t>t</w:t>
      </w:r>
      <w:r w:rsidRPr="000F0A50">
        <w:rPr>
          <w:rFonts w:ascii="Arial" w:hAnsi="Arial" w:cs="Arial"/>
        </w:rPr>
        <w:t>ransfusional: Presentación. Diagnóstico diferencial. Fisiopatología. Tratamiento. Prevención.</w:t>
      </w:r>
    </w:p>
    <w:p w:rsidR="00DA25AD" w:rsidRDefault="00DA25AD" w:rsidP="00181451">
      <w:pPr>
        <w:pStyle w:val="Sinespaciado"/>
        <w:jc w:val="both"/>
        <w:rPr>
          <w:rFonts w:ascii="Arial" w:hAnsi="Arial" w:cs="Arial"/>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Default="00DA25AD" w:rsidP="00CB7A1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sidR="00934AE9">
        <w:rPr>
          <w:rFonts w:ascii="Arial" w:hAnsi="Arial" w:cs="Arial"/>
          <w:lang w:val="es-ES_tradnl"/>
        </w:rPr>
        <w:t xml:space="preserve"> 80</w:t>
      </w:r>
    </w:p>
    <w:p w:rsidR="00583D10" w:rsidRDefault="00583D10" w:rsidP="002A3AEF">
      <w:pPr>
        <w:pStyle w:val="Sinespaciado"/>
        <w:jc w:val="both"/>
        <w:rPr>
          <w:rFonts w:ascii="Arial" w:hAnsi="Arial" w:cs="Arial"/>
          <w:b/>
          <w:u w:val="single"/>
          <w:lang w:val="es-ES_tradnl"/>
        </w:rPr>
      </w:pP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Pr="00F3293F" w:rsidRDefault="00F3293F" w:rsidP="002A3AEF">
      <w:pPr>
        <w:pStyle w:val="Sinespaciado"/>
        <w:jc w:val="both"/>
        <w:rPr>
          <w:rFonts w:ascii="Arial" w:hAnsi="Arial" w:cs="Arial"/>
          <w:b/>
          <w:u w:val="single"/>
          <w:lang w:val="es-ES_tradnl"/>
        </w:rPr>
      </w:pPr>
    </w:p>
    <w:p w:rsidR="00DA25AD" w:rsidRDefault="00721484" w:rsidP="002A3AEF">
      <w:pPr>
        <w:pStyle w:val="Sinespaciado"/>
        <w:jc w:val="both"/>
        <w:rPr>
          <w:rFonts w:ascii="Arial" w:hAnsi="Arial" w:cs="Arial"/>
          <w:b/>
          <w:lang w:val="es-ES_tradnl"/>
        </w:rPr>
      </w:pPr>
      <w:r>
        <w:rPr>
          <w:rFonts w:ascii="Arial" w:hAnsi="Arial" w:cs="Arial"/>
          <w:b/>
          <w:lang w:val="es-ES_tradnl"/>
        </w:rPr>
        <w:t>B</w:t>
      </w:r>
      <w:r w:rsidRPr="007562F7">
        <w:rPr>
          <w:rFonts w:ascii="Arial" w:hAnsi="Arial" w:cs="Arial"/>
          <w:b/>
          <w:lang w:val="es-ES_tradnl"/>
        </w:rPr>
        <w:t>ibliografía</w:t>
      </w:r>
      <w:r w:rsidR="00DA25AD" w:rsidRPr="007562F7">
        <w:rPr>
          <w:rFonts w:ascii="Arial" w:hAnsi="Arial" w:cs="Arial"/>
          <w:b/>
          <w:lang w:val="es-ES_tradnl"/>
        </w:rPr>
        <w:t xml:space="preserve"> de lectura obligatoria</w:t>
      </w:r>
      <w:r w:rsidR="00DA25AD">
        <w:rPr>
          <w:rFonts w:ascii="Arial" w:hAnsi="Arial" w:cs="Arial"/>
          <w:b/>
          <w:lang w:val="es-ES_tradnl"/>
        </w:rPr>
        <w:t>:</w:t>
      </w:r>
    </w:p>
    <w:p w:rsidR="00CB7A1F" w:rsidRDefault="00CB7A1F" w:rsidP="00CB7A1F">
      <w:pPr>
        <w:pStyle w:val="Normal1"/>
        <w:numPr>
          <w:ilvl w:val="0"/>
          <w:numId w:val="12"/>
        </w:numPr>
      </w:pPr>
      <w:r>
        <w:t>Narváez Hernández, José Antonio. “Teoría de la comunicación. Unidad 1”, Secretaria de la educación de Veracruz, México, 2009, Pág. 11- 23.  -</w:t>
      </w:r>
      <w:proofErr w:type="spellStart"/>
      <w:r>
        <w:t>Mattelart</w:t>
      </w:r>
      <w:proofErr w:type="spellEnd"/>
      <w:r>
        <w:t xml:space="preserve">, </w:t>
      </w:r>
      <w:proofErr w:type="spellStart"/>
      <w:r>
        <w:t>Armand&amp;Mattelart</w:t>
      </w:r>
      <w:proofErr w:type="spellEnd"/>
      <w:r>
        <w:t>, Michelle. “Historia de las Teorías de la Comunicación”</w:t>
      </w:r>
      <w:proofErr w:type="gramStart"/>
      <w:r>
        <w:t>.,</w:t>
      </w:r>
      <w:proofErr w:type="gramEnd"/>
      <w:r>
        <w:t xml:space="preserve"> Paidós (Paidós comunicación 91), Barcelona 1997, </w:t>
      </w:r>
      <w:proofErr w:type="spellStart"/>
      <w:r>
        <w:t>Pag</w:t>
      </w:r>
      <w:proofErr w:type="spellEnd"/>
      <w:r>
        <w:t xml:space="preserve">. 23-47. </w:t>
      </w:r>
    </w:p>
    <w:p w:rsidR="00CB7A1F" w:rsidRDefault="00CB7A1F" w:rsidP="00CB7A1F">
      <w:pPr>
        <w:pStyle w:val="Normal1"/>
        <w:numPr>
          <w:ilvl w:val="0"/>
          <w:numId w:val="12"/>
        </w:numPr>
      </w:pPr>
      <w:r>
        <w:lastRenderedPageBreak/>
        <w:t xml:space="preserve">-Ley Nº 22.990, “Ley Nacional de Sangre”. Disponible en </w:t>
      </w:r>
      <w:hyperlink r:id="rId8">
        <w:r w:rsidRPr="00CB7A1F">
          <w:rPr>
            <w:color w:val="1155CC"/>
            <w:u w:val="single"/>
          </w:rPr>
          <w:t>http://infoleg.mecon.gov.ar/infolegInternet/anexos/45000-49999/49103/norma.htm</w:t>
        </w:r>
      </w:hyperlink>
      <w:r>
        <w:t xml:space="preserve"> (consulta 14-05- 2015).</w:t>
      </w:r>
    </w:p>
    <w:p w:rsidR="00CB7A1F" w:rsidRDefault="00CB7A1F" w:rsidP="00CB7A1F">
      <w:pPr>
        <w:pStyle w:val="Normal1"/>
        <w:numPr>
          <w:ilvl w:val="0"/>
          <w:numId w:val="12"/>
        </w:numPr>
      </w:pPr>
      <w:r>
        <w:t>-Resoluciones del Ministerio de Salud de la Nación Nº 1508/2015 y 1509/2015</w:t>
      </w:r>
      <w:r>
        <w:br/>
      </w:r>
      <w:hyperlink r:id="rId9">
        <w:r>
          <w:rPr>
            <w:color w:val="1155CC"/>
            <w:u w:val="single"/>
          </w:rPr>
          <w:t>http://marisaaizenberg.blogspot.com.ar/2015/09/texto-de-las-ultimas-resoluciones-del.html</w:t>
        </w:r>
      </w:hyperlink>
    </w:p>
    <w:p w:rsidR="00CB7A1F" w:rsidRDefault="00CB7A1F" w:rsidP="00CB7A1F">
      <w:pPr>
        <w:pStyle w:val="Normal1"/>
        <w:numPr>
          <w:ilvl w:val="0"/>
          <w:numId w:val="12"/>
        </w:numPr>
      </w:pPr>
      <w:r>
        <w:t>-Sociedad Internacional de Transfusión de Sangre (SITS) – “Código de Ética para la Donación y Transfusión de Sangre”, en Organización Panamericana de la Salud “Elegibilidad para la Donación de Sangre: Recomendaciones para la Educación y la Selección de Donantes Potenciales de Sangre” Washington, D.C.: OPS, 2009. ANEXO.</w:t>
      </w:r>
    </w:p>
    <w:p w:rsidR="00CB7A1F" w:rsidRDefault="00CB7A1F" w:rsidP="00CB7A1F">
      <w:pPr>
        <w:pStyle w:val="Normal1"/>
        <w:numPr>
          <w:ilvl w:val="0"/>
          <w:numId w:val="12"/>
        </w:numPr>
      </w:pPr>
      <w:r>
        <w:t xml:space="preserve">-Organización Panamericana de la Salud. “Hagamos la Diferencia”. (2005). Módulos 2-3. Páginas 27-70. Disponible en </w:t>
      </w:r>
      <w:hyperlink r:id="rId10">
        <w:r w:rsidRPr="00CB7A1F">
          <w:rPr>
            <w:color w:val="1155CC"/>
            <w:u w:val="single"/>
          </w:rPr>
          <w:t xml:space="preserve"> http://www.aahi.org.ar/publicaciones/ops-oms/hagamos- la-diferencia-2005/</w:t>
        </w:r>
      </w:hyperlink>
    </w:p>
    <w:p w:rsidR="00CB7A1F" w:rsidRDefault="00CB7A1F" w:rsidP="00CB7A1F">
      <w:pPr>
        <w:pStyle w:val="Normal1"/>
        <w:numPr>
          <w:ilvl w:val="0"/>
          <w:numId w:val="12"/>
        </w:numPr>
      </w:pPr>
      <w:r>
        <w:t xml:space="preserve">-Elisabeth </w:t>
      </w:r>
      <w:proofErr w:type="spellStart"/>
      <w:r>
        <w:t>Noëlle-Neumann</w:t>
      </w:r>
      <w:proofErr w:type="spellEnd"/>
      <w:r>
        <w:t>. La espiral del silencio. Extraído de VV.AA</w:t>
      </w:r>
      <w:proofErr w:type="gramStart"/>
      <w:r>
        <w:t>..</w:t>
      </w:r>
      <w:proofErr w:type="gramEnd"/>
      <w:r>
        <w:t xml:space="preserve"> El nuevo espacio público, </w:t>
      </w:r>
      <w:proofErr w:type="spellStart"/>
      <w:r>
        <w:t>Gedisa</w:t>
      </w:r>
      <w:proofErr w:type="spellEnd"/>
      <w:r>
        <w:t>, Barcelona, 1992. y NOËLLENEUMANN, Elisabet</w:t>
      </w:r>
      <w:bookmarkStart w:id="0" w:name="_GoBack"/>
      <w:bookmarkEnd w:id="0"/>
      <w:r>
        <w:t>h. La espiral del silencio.</w:t>
      </w:r>
    </w:p>
    <w:p w:rsidR="00CB7A1F" w:rsidRDefault="00CB7A1F" w:rsidP="00CB7A1F">
      <w:pPr>
        <w:pStyle w:val="Normal1"/>
        <w:numPr>
          <w:ilvl w:val="0"/>
          <w:numId w:val="12"/>
        </w:numPr>
      </w:pPr>
      <w:r>
        <w:t xml:space="preserve">Opinión pública: nuestra piel social, </w:t>
      </w:r>
      <w:proofErr w:type="spellStart"/>
      <w:r>
        <w:t>Paidós.Barcelona</w:t>
      </w:r>
      <w:proofErr w:type="spellEnd"/>
      <w:r>
        <w:t>, 1995 (capítulos 20</w:t>
      </w:r>
      <w:r w:rsidR="008B0BE8">
        <w:t>,21)</w:t>
      </w:r>
      <w:r>
        <w:t>.</w:t>
      </w:r>
    </w:p>
    <w:p w:rsidR="00DA25AD" w:rsidRDefault="00DA25AD" w:rsidP="00CB7A1F">
      <w:pPr>
        <w:pStyle w:val="Sinespaciado"/>
        <w:ind w:left="720"/>
        <w:jc w:val="both"/>
        <w:rPr>
          <w:rFonts w:ascii="Arial" w:hAnsi="Arial" w:cs="Arial"/>
          <w:b/>
        </w:rPr>
      </w:pPr>
    </w:p>
    <w:p w:rsidR="00721484" w:rsidRDefault="00721484" w:rsidP="006C69B4">
      <w:pPr>
        <w:pStyle w:val="Sinespaciado"/>
        <w:jc w:val="both"/>
        <w:rPr>
          <w:rFonts w:ascii="Arial" w:hAnsi="Arial" w:cs="Arial"/>
          <w:b/>
        </w:rPr>
      </w:pPr>
    </w:p>
    <w:p w:rsidR="00DA25AD" w:rsidRDefault="00F3293F" w:rsidP="006C69B4">
      <w:pPr>
        <w:pStyle w:val="Sinespaciado"/>
        <w:jc w:val="both"/>
        <w:rPr>
          <w:rFonts w:ascii="Arial" w:hAnsi="Arial" w:cs="Arial"/>
          <w:b/>
        </w:rPr>
      </w:pPr>
      <w:r>
        <w:rPr>
          <w:rFonts w:ascii="Arial" w:hAnsi="Arial" w:cs="Arial"/>
          <w:b/>
        </w:rPr>
        <w:t>B</w:t>
      </w:r>
      <w:r w:rsidR="00DA25AD">
        <w:rPr>
          <w:rFonts w:ascii="Arial" w:hAnsi="Arial" w:cs="Arial"/>
          <w:b/>
        </w:rPr>
        <w:t>ibliografía de lectura optativa:</w:t>
      </w:r>
    </w:p>
    <w:p w:rsidR="00CB7A1F" w:rsidRDefault="00CB7A1F" w:rsidP="00CB7A1F">
      <w:pPr>
        <w:pStyle w:val="Normal1"/>
        <w:numPr>
          <w:ilvl w:val="0"/>
          <w:numId w:val="13"/>
        </w:numPr>
      </w:pPr>
      <w:r>
        <w:t>Plan Nacional de Sangre. Guías de trabajo de Promoción.</w:t>
      </w:r>
    </w:p>
    <w:p w:rsidR="00CB7A1F" w:rsidRDefault="00CB7A1F" w:rsidP="00CB7A1F">
      <w:pPr>
        <w:pStyle w:val="Normal1"/>
        <w:ind w:left="708"/>
      </w:pPr>
      <w:r>
        <w:t xml:space="preserve">Disponibles en: </w:t>
      </w:r>
      <w:hyperlink r:id="rId11" w:history="1">
        <w:r w:rsidRPr="00555329">
          <w:rPr>
            <w:rStyle w:val="Hipervnculo"/>
          </w:rPr>
          <w:t>http://www.msal.gov.ar/plan-nacionalsangre/index.php?option=com_content&amp;amp;view=article&amp;amp;id=324&amp;amp;Itemid=45</w:t>
        </w:r>
      </w:hyperlink>
    </w:p>
    <w:sectPr w:rsidR="00CB7A1F" w:rsidSect="00ED5D1E">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99" w:rsidRDefault="00FD6599" w:rsidP="0004580F">
      <w:r>
        <w:separator/>
      </w:r>
    </w:p>
  </w:endnote>
  <w:endnote w:type="continuationSeparator" w:id="1">
    <w:p w:rsidR="00FD6599" w:rsidRDefault="00FD6599"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99" w:rsidRDefault="00FD6599" w:rsidP="0004580F">
      <w:r>
        <w:separator/>
      </w:r>
    </w:p>
  </w:footnote>
  <w:footnote w:type="continuationSeparator" w:id="1">
    <w:p w:rsidR="00FD6599" w:rsidRDefault="00FD6599"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E57A80"/>
    <w:multiLevelType w:val="hybridMultilevel"/>
    <w:tmpl w:val="FD8C931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F52956"/>
    <w:multiLevelType w:val="hybridMultilevel"/>
    <w:tmpl w:val="EB50DE9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E4CAB"/>
    <w:multiLevelType w:val="hybridMultilevel"/>
    <w:tmpl w:val="205E0C6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494906"/>
    <w:multiLevelType w:val="hybridMultilevel"/>
    <w:tmpl w:val="6C6A8FE4"/>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1">
    <w:nsid w:val="56827E98"/>
    <w:multiLevelType w:val="hybridMultilevel"/>
    <w:tmpl w:val="CB6A4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8"/>
  </w:num>
  <w:num w:numId="5">
    <w:abstractNumId w:val="2"/>
  </w:num>
  <w:num w:numId="6">
    <w:abstractNumId w:val="4"/>
  </w:num>
  <w:num w:numId="7">
    <w:abstractNumId w:val="13"/>
  </w:num>
  <w:num w:numId="8">
    <w:abstractNumId w:val="16"/>
  </w:num>
  <w:num w:numId="9">
    <w:abstractNumId w:val="0"/>
  </w:num>
  <w:num w:numId="10">
    <w:abstractNumId w:val="14"/>
  </w:num>
  <w:num w:numId="11">
    <w:abstractNumId w:val="9"/>
  </w:num>
  <w:num w:numId="12">
    <w:abstractNumId w:val="12"/>
  </w:num>
  <w:num w:numId="13">
    <w:abstractNumId w:val="11"/>
  </w:num>
  <w:num w:numId="14">
    <w:abstractNumId w:val="3"/>
  </w:num>
  <w:num w:numId="15">
    <w:abstractNumId w:val="10"/>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F08BF"/>
    <w:rsid w:val="00024F68"/>
    <w:rsid w:val="00032510"/>
    <w:rsid w:val="00044975"/>
    <w:rsid w:val="0004580F"/>
    <w:rsid w:val="00045B3B"/>
    <w:rsid w:val="00076057"/>
    <w:rsid w:val="000B583D"/>
    <w:rsid w:val="000B7884"/>
    <w:rsid w:val="000E4E71"/>
    <w:rsid w:val="000F0A50"/>
    <w:rsid w:val="000F3622"/>
    <w:rsid w:val="00102774"/>
    <w:rsid w:val="0011221A"/>
    <w:rsid w:val="001221AE"/>
    <w:rsid w:val="00181451"/>
    <w:rsid w:val="001B1E40"/>
    <w:rsid w:val="001B2873"/>
    <w:rsid w:val="001B35C9"/>
    <w:rsid w:val="001C44FE"/>
    <w:rsid w:val="001D3032"/>
    <w:rsid w:val="002008CB"/>
    <w:rsid w:val="00216036"/>
    <w:rsid w:val="002846BD"/>
    <w:rsid w:val="00286D13"/>
    <w:rsid w:val="002A3AEF"/>
    <w:rsid w:val="002C69FF"/>
    <w:rsid w:val="002C761C"/>
    <w:rsid w:val="002D0BBB"/>
    <w:rsid w:val="002E410F"/>
    <w:rsid w:val="002F1937"/>
    <w:rsid w:val="00300B26"/>
    <w:rsid w:val="00311159"/>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5EF8"/>
    <w:rsid w:val="00521B33"/>
    <w:rsid w:val="00534FC5"/>
    <w:rsid w:val="00583D10"/>
    <w:rsid w:val="005D497A"/>
    <w:rsid w:val="0061012D"/>
    <w:rsid w:val="00611AED"/>
    <w:rsid w:val="00612317"/>
    <w:rsid w:val="00637594"/>
    <w:rsid w:val="00680406"/>
    <w:rsid w:val="00697B3C"/>
    <w:rsid w:val="00697BBE"/>
    <w:rsid w:val="006A33D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5AE8"/>
    <w:rsid w:val="008653CE"/>
    <w:rsid w:val="00880FB3"/>
    <w:rsid w:val="00896586"/>
    <w:rsid w:val="008B0BE8"/>
    <w:rsid w:val="008C1766"/>
    <w:rsid w:val="008C3E5D"/>
    <w:rsid w:val="008F67FF"/>
    <w:rsid w:val="00920175"/>
    <w:rsid w:val="009227FF"/>
    <w:rsid w:val="00934AE9"/>
    <w:rsid w:val="0094283B"/>
    <w:rsid w:val="00947C88"/>
    <w:rsid w:val="00957E1C"/>
    <w:rsid w:val="00986BCE"/>
    <w:rsid w:val="00994DFE"/>
    <w:rsid w:val="009A5174"/>
    <w:rsid w:val="009A68D4"/>
    <w:rsid w:val="009B224D"/>
    <w:rsid w:val="009E4DC3"/>
    <w:rsid w:val="009F1DB1"/>
    <w:rsid w:val="00A1075C"/>
    <w:rsid w:val="00A42A4A"/>
    <w:rsid w:val="00A679F1"/>
    <w:rsid w:val="00A909F9"/>
    <w:rsid w:val="00AA4E9E"/>
    <w:rsid w:val="00AD739E"/>
    <w:rsid w:val="00B26BF6"/>
    <w:rsid w:val="00B31C3C"/>
    <w:rsid w:val="00B421A4"/>
    <w:rsid w:val="00B441E8"/>
    <w:rsid w:val="00B4727F"/>
    <w:rsid w:val="00B67CF6"/>
    <w:rsid w:val="00B8434B"/>
    <w:rsid w:val="00B939AE"/>
    <w:rsid w:val="00BC170F"/>
    <w:rsid w:val="00BD3A46"/>
    <w:rsid w:val="00BF1AC2"/>
    <w:rsid w:val="00C164B8"/>
    <w:rsid w:val="00C43CF2"/>
    <w:rsid w:val="00C442F2"/>
    <w:rsid w:val="00CB64F8"/>
    <w:rsid w:val="00CB7A1F"/>
    <w:rsid w:val="00CC06CB"/>
    <w:rsid w:val="00CC5C68"/>
    <w:rsid w:val="00CC7F8D"/>
    <w:rsid w:val="00CE2EE0"/>
    <w:rsid w:val="00CE4008"/>
    <w:rsid w:val="00D03DFD"/>
    <w:rsid w:val="00D07B41"/>
    <w:rsid w:val="00D259F0"/>
    <w:rsid w:val="00D27B60"/>
    <w:rsid w:val="00D50CBE"/>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14B5D"/>
    <w:rsid w:val="00F3293F"/>
    <w:rsid w:val="00F37FC0"/>
    <w:rsid w:val="00F57A9D"/>
    <w:rsid w:val="00F83C92"/>
    <w:rsid w:val="00FA50CF"/>
    <w:rsid w:val="00FC49AB"/>
    <w:rsid w:val="00FC681D"/>
    <w:rsid w:val="00FD6599"/>
    <w:rsid w:val="00FE73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customStyle="1" w:styleId="Normal1">
    <w:name w:val="Normal1"/>
    <w:rsid w:val="00CB7A1F"/>
    <w:pPr>
      <w:spacing w:line="276" w:lineRule="auto"/>
    </w:pPr>
    <w:rPr>
      <w:rFonts w:ascii="Arial" w:eastAsia="Arial" w:hAnsi="Arial" w:cs="Arial"/>
      <w:color w:val="000000"/>
      <w:sz w:val="22"/>
      <w:szCs w:val="22"/>
    </w:rPr>
  </w:style>
  <w:style w:type="character" w:styleId="Hipervnculo">
    <w:name w:val="Hyperlink"/>
    <w:basedOn w:val="Fuentedeprrafopredeter"/>
    <w:uiPriority w:val="99"/>
    <w:unhideWhenUsed/>
    <w:rsid w:val="00CB7A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customStyle="1" w:styleId="Normal1">
    <w:name w:val="Normal1"/>
    <w:rsid w:val="00CB7A1F"/>
    <w:pPr>
      <w:spacing w:line="276" w:lineRule="auto"/>
    </w:pPr>
    <w:rPr>
      <w:rFonts w:ascii="Arial" w:eastAsia="Arial" w:hAnsi="Arial" w:cs="Arial"/>
      <w:color w:val="000000"/>
      <w:sz w:val="22"/>
      <w:szCs w:val="22"/>
    </w:rPr>
  </w:style>
  <w:style w:type="character" w:styleId="Hipervnculo">
    <w:name w:val="Hyperlink"/>
    <w:basedOn w:val="Fuentedeprrafopredeter"/>
    <w:uiPriority w:val="99"/>
    <w:unhideWhenUsed/>
    <w:rsid w:val="00CB7A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leg.mecon.gov.ar/infolegInternet/anexos/45000-49999/49103/nor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l.gov.ar/plan-nacionalsangre/index.php?option=com_content&amp;amp;view=article&amp;amp;id=324&amp;amp;Itemid=4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ahi.org.ar/publicaciones/ops-oms/hagamos-" TargetMode="External"/><Relationship Id="rId4" Type="http://schemas.openxmlformats.org/officeDocument/2006/relationships/settings" Target="settings.xml"/><Relationship Id="rId9" Type="http://schemas.openxmlformats.org/officeDocument/2006/relationships/hyperlink" Target="http://marisaaizenberg.blogspot.com.ar/2015/09/texto-de-las-ultimas-resoluciones-del.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B6C51-89B9-49E9-B75B-CF4F6409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1953</Words>
  <Characters>14212</Characters>
  <Application>Microsoft Office Word</Application>
  <DocSecurity>0</DocSecurity>
  <Lines>118</Lines>
  <Paragraphs>32</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tecnicatura1</cp:lastModifiedBy>
  <cp:revision>2</cp:revision>
  <cp:lastPrinted>2018-06-12T12:25:00Z</cp:lastPrinted>
  <dcterms:created xsi:type="dcterms:W3CDTF">2018-06-12T12:25:00Z</dcterms:created>
  <dcterms:modified xsi:type="dcterms:W3CDTF">2018-06-12T12:25:00Z</dcterms:modified>
</cp:coreProperties>
</file>