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1A" w:rsidRPr="00583D10" w:rsidRDefault="00F3293F" w:rsidP="002E410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583D10">
        <w:rPr>
          <w:rFonts w:ascii="Arial" w:hAnsi="Arial" w:cs="Arial"/>
          <w:b/>
          <w:sz w:val="24"/>
          <w:szCs w:val="24"/>
          <w:lang w:val="es-ES_tradnl"/>
        </w:rPr>
        <w:t>Facultad de Medicina U.B.A</w:t>
      </w:r>
    </w:p>
    <w:p w:rsidR="00F3293F" w:rsidRPr="00583D10" w:rsidRDefault="00F3293F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583D10">
        <w:rPr>
          <w:rFonts w:ascii="Arial" w:hAnsi="Arial" w:cs="Arial"/>
          <w:b/>
          <w:sz w:val="24"/>
          <w:szCs w:val="24"/>
          <w:lang w:val="es-ES_tradnl"/>
        </w:rPr>
        <w:t xml:space="preserve">Tecnicatura Universitaria en </w:t>
      </w:r>
      <w:r w:rsidR="00721484" w:rsidRPr="00721484">
        <w:rPr>
          <w:rFonts w:ascii="Arial" w:hAnsi="Arial" w:cs="Arial"/>
          <w:b/>
          <w:sz w:val="24"/>
        </w:rPr>
        <w:t>Hemoterapia e Inmunohematología</w:t>
      </w:r>
    </w:p>
    <w:p w:rsidR="00F3293F" w:rsidRPr="00583D10" w:rsidRDefault="00F3293F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F3293F" w:rsidRPr="00CB7A1F" w:rsidRDefault="00CB7A1F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B7A1F">
        <w:rPr>
          <w:rFonts w:ascii="Arial" w:hAnsi="Arial" w:cs="Arial"/>
          <w:b/>
          <w:sz w:val="24"/>
          <w:szCs w:val="24"/>
          <w:lang w:val="es-AR"/>
        </w:rPr>
        <w:t>Promoción de la Donación de Sangre</w:t>
      </w:r>
    </w:p>
    <w:p w:rsidR="00721484" w:rsidRPr="00583D10" w:rsidRDefault="00721484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F3293F" w:rsidRDefault="00F3293F" w:rsidP="00F3293F">
      <w:pPr>
        <w:pStyle w:val="Sinespaciado"/>
        <w:jc w:val="center"/>
        <w:rPr>
          <w:rFonts w:ascii="Arial" w:hAnsi="Arial" w:cs="Arial"/>
          <w:lang w:val="es-ES_tradnl"/>
        </w:rPr>
      </w:pPr>
    </w:p>
    <w:p w:rsidR="00721484" w:rsidRDefault="00721484" w:rsidP="00DF08BF">
      <w:pPr>
        <w:pStyle w:val="Sinespaciado"/>
        <w:rPr>
          <w:rFonts w:ascii="Arial" w:hAnsi="Arial" w:cs="Arial"/>
          <w:lang w:val="es-ES_tradnl"/>
        </w:rPr>
      </w:pPr>
    </w:p>
    <w:p w:rsidR="00DA25AD" w:rsidRPr="00F3293F" w:rsidRDefault="00DA25AD" w:rsidP="00F3293F">
      <w:pPr>
        <w:pStyle w:val="Sinespaciado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Propósitos:</w:t>
      </w:r>
    </w:p>
    <w:p w:rsidR="00F3293F" w:rsidRPr="00DF08BF" w:rsidRDefault="00F3293F" w:rsidP="00F3293F">
      <w:pPr>
        <w:pStyle w:val="Sinespaciado"/>
        <w:ind w:left="720"/>
        <w:rPr>
          <w:rFonts w:ascii="Arial" w:hAnsi="Arial" w:cs="Arial"/>
          <w:b/>
          <w:lang w:val="es-ES_tradnl"/>
        </w:rPr>
      </w:pPr>
    </w:p>
    <w:p w:rsidR="00DA25AD" w:rsidRPr="00B26BF6" w:rsidRDefault="00CB7A1F" w:rsidP="00DF08BF">
      <w:pPr>
        <w:pStyle w:val="Sinespaciado"/>
        <w:jc w:val="both"/>
        <w:rPr>
          <w:rFonts w:ascii="Arial" w:hAnsi="Arial" w:cs="Arial"/>
          <w:lang w:val="es-ES_tradnl"/>
        </w:rPr>
      </w:pPr>
      <w:r w:rsidRPr="00B26BF6">
        <w:rPr>
          <w:rFonts w:ascii="Arial" w:hAnsi="Arial" w:cs="Arial"/>
        </w:rPr>
        <w:t>Que los alumnos sean capaces de llevar adelante con efectividad un Programa de Donación Voluntaria de Sangre, o bien, integrarse a un equipo de trabajo que lleve adelante este tipo de Programas.</w:t>
      </w:r>
    </w:p>
    <w:p w:rsidR="00721484" w:rsidRDefault="00721484" w:rsidP="00DF08BF">
      <w:pPr>
        <w:pStyle w:val="Sinespaciado"/>
        <w:jc w:val="both"/>
        <w:rPr>
          <w:rFonts w:ascii="Arial" w:hAnsi="Arial" w:cs="Arial"/>
          <w:lang w:val="es-ES_tradnl"/>
        </w:rPr>
      </w:pPr>
    </w:p>
    <w:p w:rsidR="00721484" w:rsidRDefault="00721484" w:rsidP="00DF08BF">
      <w:pPr>
        <w:pStyle w:val="Sinespaciado"/>
        <w:jc w:val="both"/>
        <w:rPr>
          <w:rFonts w:ascii="Arial" w:hAnsi="Arial" w:cs="Arial"/>
          <w:lang w:val="es-ES_tradnl"/>
        </w:rPr>
      </w:pPr>
    </w:p>
    <w:p w:rsidR="00DA25AD" w:rsidRDefault="00DA25AD" w:rsidP="00DF08B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Objetivos generales:</w:t>
      </w:r>
    </w:p>
    <w:p w:rsidR="00F3293F" w:rsidRPr="00F3293F" w:rsidRDefault="00F3293F" w:rsidP="00DF08B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B26BF6" w:rsidRPr="0019162E" w:rsidRDefault="004B4D8C" w:rsidP="00B26BF6">
      <w:pPr>
        <w:pStyle w:val="Normal1"/>
        <w:numPr>
          <w:ilvl w:val="0"/>
          <w:numId w:val="12"/>
        </w:numPr>
      </w:pPr>
      <w:r>
        <w:rPr>
          <w:color w:val="222222"/>
          <w:highlight w:val="white"/>
        </w:rPr>
        <w:t xml:space="preserve">Impartir conocimientos sobre </w:t>
      </w:r>
      <w:r w:rsidR="00B26BF6" w:rsidRPr="0019162E">
        <w:rPr>
          <w:color w:val="222222"/>
          <w:highlight w:val="white"/>
        </w:rPr>
        <w:t>la importancia de la donación voluntaria de sangre.</w:t>
      </w:r>
    </w:p>
    <w:p w:rsidR="00B26BF6" w:rsidRPr="0019162E" w:rsidRDefault="00B26BF6" w:rsidP="00B26BF6">
      <w:pPr>
        <w:pStyle w:val="Normal1"/>
        <w:numPr>
          <w:ilvl w:val="0"/>
          <w:numId w:val="12"/>
        </w:numPr>
      </w:pPr>
      <w:r w:rsidRPr="0019162E">
        <w:rPr>
          <w:color w:val="222222"/>
          <w:highlight w:val="white"/>
        </w:rPr>
        <w:t>Comprender la relación de las diferentes partes que integran un equipo de trabajo en un banco de sangre.</w:t>
      </w:r>
    </w:p>
    <w:p w:rsidR="00B26BF6" w:rsidRPr="0019162E" w:rsidRDefault="00B26BF6" w:rsidP="00B26BF6">
      <w:pPr>
        <w:pStyle w:val="Normal1"/>
        <w:numPr>
          <w:ilvl w:val="0"/>
          <w:numId w:val="12"/>
        </w:numPr>
      </w:pPr>
      <w:r w:rsidRPr="0019162E">
        <w:rPr>
          <w:color w:val="222222"/>
          <w:highlight w:val="white"/>
        </w:rPr>
        <w:t>Co</w:t>
      </w:r>
      <w:r w:rsidR="004B4D8C">
        <w:rPr>
          <w:color w:val="222222"/>
          <w:highlight w:val="white"/>
        </w:rPr>
        <w:t>nocer</w:t>
      </w:r>
      <w:r w:rsidRPr="0019162E">
        <w:rPr>
          <w:color w:val="222222"/>
          <w:highlight w:val="white"/>
        </w:rPr>
        <w:t xml:space="preserve"> el rol social de la comunicación y su interacción con la  promoción de la donación voluntaria de sangre.</w:t>
      </w:r>
    </w:p>
    <w:p w:rsidR="00B26BF6" w:rsidRPr="0019162E" w:rsidRDefault="00B26BF6" w:rsidP="00B26BF6">
      <w:pPr>
        <w:pStyle w:val="Normal1"/>
        <w:numPr>
          <w:ilvl w:val="0"/>
          <w:numId w:val="12"/>
        </w:numPr>
      </w:pPr>
      <w:r w:rsidRPr="0019162E">
        <w:rPr>
          <w:color w:val="222222"/>
          <w:highlight w:val="white"/>
        </w:rPr>
        <w:t>Conocer las instancias comunicacionales que se ponen en juego a la hora de donar sangre, así como también aquellas que se deben llevar adelante con éxito a la hora de promover la donación.</w:t>
      </w:r>
    </w:p>
    <w:p w:rsidR="00B26BF6" w:rsidRPr="0019162E" w:rsidRDefault="00B26BF6" w:rsidP="00B26BF6">
      <w:pPr>
        <w:pStyle w:val="Normal1"/>
        <w:numPr>
          <w:ilvl w:val="0"/>
          <w:numId w:val="12"/>
        </w:numPr>
      </w:pPr>
      <w:r w:rsidRPr="0019162E">
        <w:rPr>
          <w:color w:val="222222"/>
          <w:highlight w:val="white"/>
        </w:rPr>
        <w:t>Comprender los tipos de donantes y generar contenidos comunicacionales para cada uno de ellos.</w:t>
      </w:r>
    </w:p>
    <w:p w:rsidR="00B26BF6" w:rsidRPr="0019162E" w:rsidRDefault="00B26BF6" w:rsidP="00B26BF6">
      <w:pPr>
        <w:pStyle w:val="Normal1"/>
        <w:numPr>
          <w:ilvl w:val="0"/>
          <w:numId w:val="12"/>
        </w:numPr>
      </w:pPr>
      <w:r w:rsidRPr="0019162E">
        <w:rPr>
          <w:color w:val="222222"/>
          <w:highlight w:val="white"/>
        </w:rPr>
        <w:t>Plantear estrategias comunicacionales y de trabajo para desarrollar en el marco de un Programa de Donación Voluntaria de Sangre.</w:t>
      </w:r>
    </w:p>
    <w:p w:rsidR="00B26BF6" w:rsidRPr="0019162E" w:rsidRDefault="00B26BF6" w:rsidP="00B26BF6">
      <w:pPr>
        <w:pStyle w:val="Normal1"/>
        <w:numPr>
          <w:ilvl w:val="0"/>
          <w:numId w:val="12"/>
        </w:numPr>
      </w:pPr>
      <w:r w:rsidRPr="0019162E">
        <w:rPr>
          <w:color w:val="222222"/>
          <w:highlight w:val="white"/>
        </w:rPr>
        <w:t>Conocer los programas que se llevan adelante para la promoción de la donación voluntaria de sangre.</w:t>
      </w:r>
    </w:p>
    <w:p w:rsidR="00B26BF6" w:rsidRPr="0019162E" w:rsidRDefault="00B26BF6" w:rsidP="00B26BF6">
      <w:pPr>
        <w:pStyle w:val="Normal1"/>
        <w:ind w:left="720"/>
      </w:pPr>
    </w:p>
    <w:p w:rsidR="00721484" w:rsidRDefault="00721484" w:rsidP="00986BCE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Default="00DA25AD" w:rsidP="00181451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Contenidos:</w:t>
      </w:r>
    </w:p>
    <w:p w:rsidR="00F3293F" w:rsidRPr="00F3293F" w:rsidRDefault="00F3293F" w:rsidP="00181451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CB7A1F" w:rsidRPr="002835A3" w:rsidRDefault="00CB7A1F" w:rsidP="00CB7A1F">
      <w:pPr>
        <w:pStyle w:val="Normal1"/>
        <w:rPr>
          <w:b/>
        </w:rPr>
      </w:pPr>
      <w:r w:rsidRPr="002835A3">
        <w:rPr>
          <w:b/>
        </w:rPr>
        <w:t>Clase I</w:t>
      </w:r>
    </w:p>
    <w:p w:rsidR="00CB7A1F" w:rsidRDefault="00CB7A1F" w:rsidP="00CB7A1F">
      <w:pPr>
        <w:pStyle w:val="Normal1"/>
      </w:pPr>
      <w:r>
        <w:t>Introducción general al concepto de la promoción de la donación voluntaria de sangre.</w:t>
      </w:r>
    </w:p>
    <w:p w:rsidR="00CB7A1F" w:rsidRDefault="00CB7A1F" w:rsidP="00CB7A1F">
      <w:pPr>
        <w:pStyle w:val="Normal1"/>
      </w:pPr>
      <w:r>
        <w:t>Práctico: Introducción a la Comunicación. Primeras nociones de comunicación social e interpersonal.</w:t>
      </w:r>
    </w:p>
    <w:p w:rsidR="00CB7A1F" w:rsidRDefault="00CB7A1F" w:rsidP="00CB7A1F">
      <w:pPr>
        <w:pStyle w:val="Normal1"/>
      </w:pPr>
    </w:p>
    <w:p w:rsidR="00CB7A1F" w:rsidRDefault="00CB7A1F" w:rsidP="00CB7A1F">
      <w:pPr>
        <w:pStyle w:val="Normal1"/>
      </w:pPr>
      <w:r w:rsidRPr="002835A3">
        <w:rPr>
          <w:b/>
        </w:rPr>
        <w:t xml:space="preserve">Clase 2 </w:t>
      </w:r>
      <w:r w:rsidRPr="002835A3">
        <w:rPr>
          <w:b/>
        </w:rPr>
        <w:br/>
      </w:r>
      <w:r>
        <w:t>Normativa. Nuevas resoluciones del Ministerio de Salud y su aplicación en los servicios de Medicina Transfusional. Desafíos en el cambio del modelo de donación voluntaria.</w:t>
      </w:r>
    </w:p>
    <w:p w:rsidR="00CB7A1F" w:rsidRDefault="00CB7A1F" w:rsidP="00CB7A1F">
      <w:pPr>
        <w:pStyle w:val="Normal1"/>
      </w:pPr>
      <w:r>
        <w:lastRenderedPageBreak/>
        <w:t xml:space="preserve">Práctico: Conformación de los equipos de trabajo. Abordaje de TP1. Conceptos de Comunicación (2da parte). </w:t>
      </w:r>
    </w:p>
    <w:p w:rsidR="00CB7A1F" w:rsidRDefault="00CB7A1F" w:rsidP="00CB7A1F">
      <w:pPr>
        <w:pStyle w:val="Normal1"/>
      </w:pPr>
    </w:p>
    <w:p w:rsidR="00CB7A1F" w:rsidRPr="002835A3" w:rsidRDefault="00CB7A1F" w:rsidP="00CB7A1F">
      <w:pPr>
        <w:pStyle w:val="Normal1"/>
        <w:rPr>
          <w:b/>
        </w:rPr>
      </w:pPr>
      <w:r w:rsidRPr="002835A3">
        <w:rPr>
          <w:b/>
        </w:rPr>
        <w:t>Clase 3</w:t>
      </w:r>
    </w:p>
    <w:p w:rsidR="00CB7A1F" w:rsidRDefault="00CB7A1F" w:rsidP="00CB7A1F">
      <w:pPr>
        <w:pStyle w:val="Normal1"/>
      </w:pPr>
      <w:r>
        <w:t xml:space="preserve">Tipos de donante de sangre. Entrevista pre-donación. </w:t>
      </w:r>
    </w:p>
    <w:p w:rsidR="00CB7A1F" w:rsidRDefault="00CB7A1F" w:rsidP="00CB7A1F">
      <w:pPr>
        <w:pStyle w:val="Normal1"/>
        <w:rPr>
          <w:b/>
        </w:rPr>
      </w:pPr>
      <w:r>
        <w:t>Práctico: Experiencia subjetiva de la donación de sangre. Percepción intersubjetiva.</w:t>
      </w:r>
      <w:r>
        <w:br/>
      </w:r>
    </w:p>
    <w:p w:rsidR="00CB7A1F" w:rsidRPr="002835A3" w:rsidRDefault="00CB7A1F" w:rsidP="00CB7A1F">
      <w:pPr>
        <w:pStyle w:val="Normal1"/>
        <w:rPr>
          <w:b/>
        </w:rPr>
      </w:pPr>
      <w:r w:rsidRPr="002835A3">
        <w:rPr>
          <w:b/>
        </w:rPr>
        <w:t>Clase 4</w:t>
      </w:r>
    </w:p>
    <w:p w:rsidR="00CB7A1F" w:rsidRDefault="00CB7A1F" w:rsidP="00CB7A1F">
      <w:pPr>
        <w:pStyle w:val="Normal1"/>
      </w:pPr>
      <w:r>
        <w:t>Estrategias para la formación de discurso – debate sobre construcción de mensaje</w:t>
      </w:r>
    </w:p>
    <w:p w:rsidR="00CB7A1F" w:rsidRDefault="00CB7A1F" w:rsidP="00CB7A1F">
      <w:pPr>
        <w:pStyle w:val="Normal1"/>
      </w:pPr>
      <w:proofErr w:type="gramStart"/>
      <w:r>
        <w:t>de</w:t>
      </w:r>
      <w:proofErr w:type="gramEnd"/>
      <w:r>
        <w:t xml:space="preserve"> acuerdo al tipo de donante. Respuesta y manejo de crisis.</w:t>
      </w:r>
      <w:r>
        <w:br/>
        <w:t>Práctico: Inicio del TP final: Planteo de bases para el desarrollo de una campaña de promoción de la donación de sangre. Tipos de campañas posibles. Diferentes formas de trabajo en promoción.</w:t>
      </w:r>
    </w:p>
    <w:p w:rsidR="00CB7A1F" w:rsidRDefault="00CB7A1F" w:rsidP="00CB7A1F">
      <w:pPr>
        <w:pStyle w:val="Normal1"/>
      </w:pPr>
    </w:p>
    <w:p w:rsidR="00CB7A1F" w:rsidRPr="002835A3" w:rsidRDefault="00CB7A1F" w:rsidP="00CB7A1F">
      <w:pPr>
        <w:pStyle w:val="Normal1"/>
        <w:rPr>
          <w:b/>
        </w:rPr>
      </w:pPr>
      <w:r w:rsidRPr="002835A3">
        <w:rPr>
          <w:b/>
        </w:rPr>
        <w:t>Clase 5</w:t>
      </w:r>
    </w:p>
    <w:p w:rsidR="00CB7A1F" w:rsidRDefault="00CB7A1F" w:rsidP="00CB7A1F">
      <w:pPr>
        <w:pStyle w:val="Normal1"/>
      </w:pPr>
      <w:r>
        <w:t xml:space="preserve">Teórico-práctico: Clase especial sobre Donación de Médula </w:t>
      </w:r>
      <w:proofErr w:type="spellStart"/>
      <w:proofErr w:type="gramStart"/>
      <w:r>
        <w:t>Òsea</w:t>
      </w:r>
      <w:proofErr w:type="spellEnd"/>
      <w:r>
        <w:t xml:space="preserve"> .</w:t>
      </w:r>
      <w:proofErr w:type="gramEnd"/>
      <w:r>
        <w:t xml:space="preserve"> Debate</w:t>
      </w:r>
    </w:p>
    <w:p w:rsidR="00CB7A1F" w:rsidRDefault="00CB7A1F" w:rsidP="00CB7A1F">
      <w:pPr>
        <w:pStyle w:val="Normal1"/>
      </w:pPr>
      <w:proofErr w:type="gramStart"/>
      <w:r>
        <w:t>sobre</w:t>
      </w:r>
      <w:proofErr w:type="gramEnd"/>
      <w:r>
        <w:t xml:space="preserve"> contraste entre donación de sangre y donación de médula ósea </w:t>
      </w:r>
    </w:p>
    <w:p w:rsidR="00CB7A1F" w:rsidRPr="002835A3" w:rsidRDefault="00CB7A1F" w:rsidP="00CB7A1F">
      <w:pPr>
        <w:pStyle w:val="Normal1"/>
        <w:rPr>
          <w:b/>
        </w:rPr>
      </w:pPr>
      <w:r>
        <w:br/>
      </w:r>
      <w:r w:rsidRPr="002835A3">
        <w:rPr>
          <w:b/>
        </w:rPr>
        <w:t>Clase 6</w:t>
      </w:r>
    </w:p>
    <w:p w:rsidR="00CB7A1F" w:rsidRDefault="00CB7A1F" w:rsidP="00CB7A1F">
      <w:pPr>
        <w:pStyle w:val="Normal1"/>
      </w:pPr>
      <w:r>
        <w:t>Construcción de mensaje en función de audiencia y tipos de público. Selección de</w:t>
      </w:r>
    </w:p>
    <w:p w:rsidR="00CB7A1F" w:rsidRDefault="00CB7A1F" w:rsidP="00CB7A1F">
      <w:pPr>
        <w:pStyle w:val="Normal1"/>
      </w:pPr>
      <w:proofErr w:type="gramStart"/>
      <w:r>
        <w:t>audiencia</w:t>
      </w:r>
      <w:proofErr w:type="gramEnd"/>
      <w:r>
        <w:t>. Construcción de opinión pública.</w:t>
      </w:r>
    </w:p>
    <w:p w:rsidR="00CB7A1F" w:rsidRDefault="00CB7A1F" w:rsidP="00CB7A1F">
      <w:pPr>
        <w:pStyle w:val="Normal1"/>
      </w:pPr>
      <w:r>
        <w:t xml:space="preserve">Práctico: producción comunicacional para la promoción de la donación voluntaria de sangre-elementos básicos. Planificación de campaña.  Búsqueda de las ideas motoras. </w:t>
      </w:r>
    </w:p>
    <w:p w:rsidR="00CB7A1F" w:rsidRDefault="00CB7A1F" w:rsidP="00CB7A1F">
      <w:pPr>
        <w:pStyle w:val="Normal1"/>
      </w:pPr>
    </w:p>
    <w:p w:rsidR="00CB7A1F" w:rsidRPr="002835A3" w:rsidRDefault="00CB7A1F" w:rsidP="00CB7A1F">
      <w:pPr>
        <w:pStyle w:val="Normal1"/>
        <w:rPr>
          <w:b/>
        </w:rPr>
      </w:pPr>
      <w:r w:rsidRPr="002835A3">
        <w:rPr>
          <w:b/>
        </w:rPr>
        <w:t xml:space="preserve">Clase 7 </w:t>
      </w:r>
    </w:p>
    <w:p w:rsidR="00CB7A1F" w:rsidRDefault="00CB7A1F" w:rsidP="00CB7A1F">
      <w:pPr>
        <w:pStyle w:val="Normal1"/>
      </w:pPr>
      <w:r>
        <w:t>Opinión pública (continuación). Trabajo en red. Consumidores-</w:t>
      </w:r>
      <w:proofErr w:type="spellStart"/>
      <w:r>
        <w:t>prosumidores</w:t>
      </w:r>
      <w:proofErr w:type="spellEnd"/>
      <w:r>
        <w:t xml:space="preserve">. </w:t>
      </w:r>
    </w:p>
    <w:p w:rsidR="00CB7A1F" w:rsidRDefault="00CB7A1F" w:rsidP="00CB7A1F">
      <w:pPr>
        <w:pStyle w:val="Normal1"/>
      </w:pPr>
      <w:r>
        <w:t xml:space="preserve">Práctico: Aplicación de ideas planteadas en clases anteriores. </w:t>
      </w:r>
    </w:p>
    <w:p w:rsidR="00CB7A1F" w:rsidRDefault="00CB7A1F" w:rsidP="00CB7A1F">
      <w:pPr>
        <w:pStyle w:val="Normal1"/>
      </w:pPr>
    </w:p>
    <w:p w:rsidR="00CB7A1F" w:rsidRDefault="00CB7A1F" w:rsidP="00CB7A1F">
      <w:pPr>
        <w:pStyle w:val="Normal1"/>
      </w:pPr>
      <w:r w:rsidRPr="002835A3">
        <w:rPr>
          <w:b/>
        </w:rPr>
        <w:t>Clase 8</w:t>
      </w:r>
      <w:r w:rsidRPr="002835A3">
        <w:rPr>
          <w:b/>
        </w:rPr>
        <w:br/>
      </w:r>
      <w:r w:rsidR="00665038">
        <w:t>Teórico</w:t>
      </w:r>
      <w:r>
        <w:t>-Práctico: Trabajo fuera de la institución de salud: escuelas, espacios públicos, docencia, etc. Colectas de Sangre. Integración comunitaria.</w:t>
      </w:r>
    </w:p>
    <w:p w:rsidR="00CB7A1F" w:rsidRDefault="00CB7A1F" w:rsidP="00CB7A1F">
      <w:pPr>
        <w:pStyle w:val="Normal1"/>
      </w:pPr>
    </w:p>
    <w:p w:rsidR="00CB7A1F" w:rsidRPr="002835A3" w:rsidRDefault="00CB7A1F" w:rsidP="00CB7A1F">
      <w:pPr>
        <w:pStyle w:val="Normal1"/>
        <w:rPr>
          <w:b/>
        </w:rPr>
      </w:pPr>
      <w:r w:rsidRPr="002835A3">
        <w:rPr>
          <w:b/>
        </w:rPr>
        <w:t>Clase 9</w:t>
      </w:r>
    </w:p>
    <w:p w:rsidR="00CB7A1F" w:rsidRDefault="00CB7A1F" w:rsidP="00CB7A1F">
      <w:pPr>
        <w:pStyle w:val="Normal1"/>
      </w:pPr>
      <w:r>
        <w:t>Construcción del mensaje. Planteo de requerimientos económicos y materiales para la ejecución de una campaña.</w:t>
      </w:r>
    </w:p>
    <w:p w:rsidR="00CB7A1F" w:rsidRDefault="00CB7A1F" w:rsidP="00CB7A1F">
      <w:pPr>
        <w:pStyle w:val="Normal1"/>
      </w:pPr>
      <w:r>
        <w:t>Práctico: Avance sobre lo anunciado en la clase anterior. Presentación de bocetos de</w:t>
      </w:r>
    </w:p>
    <w:p w:rsidR="00CB7A1F" w:rsidRDefault="00CB7A1F" w:rsidP="00CB7A1F">
      <w:pPr>
        <w:pStyle w:val="Normal1"/>
      </w:pPr>
      <w:proofErr w:type="gramStart"/>
      <w:r>
        <w:t>campaña</w:t>
      </w:r>
      <w:proofErr w:type="gramEnd"/>
      <w:r>
        <w:t>.</w:t>
      </w:r>
    </w:p>
    <w:p w:rsidR="00CB7A1F" w:rsidRDefault="00CB7A1F" w:rsidP="00CB7A1F">
      <w:pPr>
        <w:pStyle w:val="Normal1"/>
      </w:pPr>
    </w:p>
    <w:p w:rsidR="00CB7A1F" w:rsidRPr="002835A3" w:rsidRDefault="00CB7A1F" w:rsidP="00CB7A1F">
      <w:pPr>
        <w:pStyle w:val="Normal1"/>
        <w:rPr>
          <w:b/>
        </w:rPr>
      </w:pPr>
      <w:r w:rsidRPr="002835A3">
        <w:rPr>
          <w:b/>
        </w:rPr>
        <w:t>Clase 10</w:t>
      </w:r>
    </w:p>
    <w:p w:rsidR="00CB7A1F" w:rsidRDefault="00CB7A1F" w:rsidP="00CB7A1F">
      <w:pPr>
        <w:pStyle w:val="Normal1"/>
      </w:pPr>
      <w:r>
        <w:t xml:space="preserve">Medios de comunicación. Formas de difusión de las campañas de promoción de la donación de sangre. </w:t>
      </w:r>
    </w:p>
    <w:p w:rsidR="00CB7A1F" w:rsidRDefault="00CB7A1F" w:rsidP="00CB7A1F">
      <w:pPr>
        <w:pStyle w:val="Normal1"/>
      </w:pPr>
      <w:r>
        <w:t>Práctico: Análisis de discursos y campañas existentes. Casos testigo.</w:t>
      </w:r>
    </w:p>
    <w:p w:rsidR="00CB7A1F" w:rsidRDefault="00CB7A1F" w:rsidP="00CB7A1F">
      <w:pPr>
        <w:pStyle w:val="Normal1"/>
        <w:rPr>
          <w:b/>
        </w:rPr>
      </w:pPr>
    </w:p>
    <w:p w:rsidR="00CB7A1F" w:rsidRPr="002835A3" w:rsidRDefault="00CB7A1F" w:rsidP="00CB7A1F">
      <w:pPr>
        <w:pStyle w:val="Normal1"/>
        <w:rPr>
          <w:b/>
        </w:rPr>
      </w:pPr>
      <w:r w:rsidRPr="002835A3">
        <w:rPr>
          <w:b/>
        </w:rPr>
        <w:t>Clase 11</w:t>
      </w:r>
    </w:p>
    <w:p w:rsidR="00CB7A1F" w:rsidRDefault="00CB7A1F" w:rsidP="00CB7A1F">
      <w:pPr>
        <w:pStyle w:val="Normal1"/>
      </w:pPr>
      <w:r>
        <w:t xml:space="preserve">Práctico: pre-entrega del TP final por grupo. </w:t>
      </w:r>
      <w:proofErr w:type="spellStart"/>
      <w:r>
        <w:t>Tutoria</w:t>
      </w:r>
      <w:proofErr w:type="spellEnd"/>
      <w:r>
        <w:t xml:space="preserve"> por equipos. Ajustes finales.</w:t>
      </w:r>
    </w:p>
    <w:p w:rsidR="00CB7A1F" w:rsidRDefault="00CB7A1F" w:rsidP="00CB7A1F">
      <w:pPr>
        <w:pStyle w:val="Normal1"/>
      </w:pPr>
    </w:p>
    <w:p w:rsidR="008B0BE8" w:rsidRPr="00C16512" w:rsidRDefault="008B0BE8" w:rsidP="00CB7A1F">
      <w:pPr>
        <w:pStyle w:val="Normal1"/>
      </w:pPr>
    </w:p>
    <w:p w:rsidR="00CB7A1F" w:rsidRPr="002835A3" w:rsidRDefault="00CB7A1F" w:rsidP="00CB7A1F">
      <w:pPr>
        <w:pStyle w:val="Normal1"/>
        <w:rPr>
          <w:b/>
        </w:rPr>
      </w:pPr>
      <w:r w:rsidRPr="002835A3">
        <w:rPr>
          <w:b/>
        </w:rPr>
        <w:lastRenderedPageBreak/>
        <w:t>Clase 12</w:t>
      </w:r>
    </w:p>
    <w:p w:rsidR="00CB7A1F" w:rsidRDefault="00CB7A1F" w:rsidP="00CB7A1F">
      <w:pPr>
        <w:pStyle w:val="Normal1"/>
      </w:pPr>
      <w:r>
        <w:t xml:space="preserve">Presentación- entrega de TP Final. </w:t>
      </w:r>
      <w:r>
        <w:br/>
        <w:t>Cierre de la cursada. Reflexión final: puesta en conjunto sobre el rol profesional del equipo de promoción de la donación voluntaria de sangre.</w:t>
      </w:r>
    </w:p>
    <w:p w:rsidR="00DA25AD" w:rsidRDefault="00DA25AD" w:rsidP="00181451">
      <w:pPr>
        <w:pStyle w:val="Sinespaciado"/>
        <w:jc w:val="both"/>
        <w:rPr>
          <w:rFonts w:ascii="Arial" w:hAnsi="Arial" w:cs="Arial"/>
          <w:lang w:val="es-ES_tradnl"/>
        </w:rPr>
      </w:pPr>
    </w:p>
    <w:p w:rsidR="00DA25AD" w:rsidRDefault="00DA25AD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 xml:space="preserve">Carga Horaria: </w:t>
      </w:r>
    </w:p>
    <w:p w:rsidR="00721484" w:rsidRPr="00F3293F" w:rsidRDefault="00721484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Default="00DA25AD" w:rsidP="00CB7A1F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u w:val="single"/>
          <w:lang w:val="es-ES_tradnl"/>
        </w:rPr>
      </w:pPr>
      <w:r w:rsidRPr="002A3AEF">
        <w:rPr>
          <w:rFonts w:ascii="Arial" w:hAnsi="Arial" w:cs="Arial"/>
          <w:lang w:val="es-ES_tradnl"/>
        </w:rPr>
        <w:t>Horas</w:t>
      </w:r>
      <w:r w:rsidR="00665038">
        <w:rPr>
          <w:rFonts w:ascii="Arial" w:hAnsi="Arial" w:cs="Arial"/>
          <w:lang w:val="es-ES_tradnl"/>
        </w:rPr>
        <w:t xml:space="preserve"> </w:t>
      </w:r>
      <w:r w:rsidR="00CB7A1F">
        <w:rPr>
          <w:rFonts w:ascii="Arial" w:hAnsi="Arial" w:cs="Arial"/>
          <w:lang w:val="es-ES_tradnl"/>
        </w:rPr>
        <w:t>64</w:t>
      </w:r>
    </w:p>
    <w:p w:rsidR="00583D10" w:rsidRDefault="00583D10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583D10" w:rsidRDefault="00583D10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Default="00DA25AD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Evaluación:</w:t>
      </w:r>
    </w:p>
    <w:p w:rsidR="00F3293F" w:rsidRDefault="00F3293F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CB7A1F" w:rsidRDefault="00CB7A1F" w:rsidP="00CB7A1F">
      <w:pPr>
        <w:pStyle w:val="Normal1"/>
      </w:pPr>
      <w:r>
        <w:t xml:space="preserve">El alumno será evaluado de manera individual a partir de los dos primeros Trabajos Prácticos y su participación en clase. Además se completará con la nota del Trabajo Final grupal. </w:t>
      </w:r>
    </w:p>
    <w:p w:rsidR="00721484" w:rsidRDefault="00721484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721484" w:rsidRPr="00F3293F" w:rsidRDefault="00721484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Default="00DA25AD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Bibliografía:</w:t>
      </w:r>
    </w:p>
    <w:p w:rsidR="00F3293F" w:rsidRPr="00F3293F" w:rsidRDefault="00F3293F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Default="00721484" w:rsidP="002A3AEF">
      <w:pPr>
        <w:pStyle w:val="Sinespaciad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B</w:t>
      </w:r>
      <w:r w:rsidRPr="007562F7">
        <w:rPr>
          <w:rFonts w:ascii="Arial" w:hAnsi="Arial" w:cs="Arial"/>
          <w:b/>
          <w:lang w:val="es-ES_tradnl"/>
        </w:rPr>
        <w:t>ibliografía</w:t>
      </w:r>
      <w:r w:rsidR="00DA25AD" w:rsidRPr="007562F7">
        <w:rPr>
          <w:rFonts w:ascii="Arial" w:hAnsi="Arial" w:cs="Arial"/>
          <w:b/>
          <w:lang w:val="es-ES_tradnl"/>
        </w:rPr>
        <w:t xml:space="preserve"> de lectura obligatoria</w:t>
      </w:r>
      <w:r w:rsidR="00DA25AD">
        <w:rPr>
          <w:rFonts w:ascii="Arial" w:hAnsi="Arial" w:cs="Arial"/>
          <w:b/>
          <w:lang w:val="es-ES_tradnl"/>
        </w:rPr>
        <w:t>:</w:t>
      </w:r>
    </w:p>
    <w:p w:rsidR="00CB7A1F" w:rsidRDefault="00CB7A1F" w:rsidP="00CB7A1F">
      <w:pPr>
        <w:pStyle w:val="Normal1"/>
        <w:numPr>
          <w:ilvl w:val="0"/>
          <w:numId w:val="12"/>
        </w:numPr>
      </w:pPr>
      <w:r>
        <w:t>Narváez Hernández, José Antonio. “Teoría de la comunicación. Unidad 1”, Secretaria de la educación de Veracruz, México, 2009, Pág. 11- 23.  -</w:t>
      </w:r>
      <w:proofErr w:type="spellStart"/>
      <w:r>
        <w:t>Mattelart</w:t>
      </w:r>
      <w:proofErr w:type="spellEnd"/>
      <w:r>
        <w:t xml:space="preserve">, </w:t>
      </w:r>
      <w:proofErr w:type="spellStart"/>
      <w:r>
        <w:t>Armand&amp;Mattelart</w:t>
      </w:r>
      <w:proofErr w:type="spellEnd"/>
      <w:r>
        <w:t>, Michelle. “Historia de las Teorías de la Comunicación”</w:t>
      </w:r>
      <w:proofErr w:type="gramStart"/>
      <w:r>
        <w:t>.,</w:t>
      </w:r>
      <w:proofErr w:type="gramEnd"/>
      <w:r>
        <w:t xml:space="preserve"> Paidós (Paidós comunicación 91), Barcelona 1997, </w:t>
      </w:r>
      <w:proofErr w:type="spellStart"/>
      <w:r>
        <w:t>Pag</w:t>
      </w:r>
      <w:proofErr w:type="spellEnd"/>
      <w:r>
        <w:t xml:space="preserve">. 23-47. </w:t>
      </w:r>
    </w:p>
    <w:p w:rsidR="00CB7A1F" w:rsidRDefault="00CB7A1F" w:rsidP="00CB7A1F">
      <w:pPr>
        <w:pStyle w:val="Normal1"/>
        <w:numPr>
          <w:ilvl w:val="0"/>
          <w:numId w:val="12"/>
        </w:numPr>
      </w:pPr>
      <w:r>
        <w:t xml:space="preserve">-Ley Nº 22.990, “Ley Nacional de Sangre”. Disponible en </w:t>
      </w:r>
      <w:hyperlink r:id="rId8">
        <w:r w:rsidRPr="00CB7A1F">
          <w:rPr>
            <w:color w:val="1155CC"/>
            <w:u w:val="single"/>
          </w:rPr>
          <w:t>http://infoleg.mecon.gov.ar/infolegInternet/anexos/45000-49999/49103/norma.htm</w:t>
        </w:r>
      </w:hyperlink>
      <w:r>
        <w:t xml:space="preserve"> (consulta 14-05- 2015).</w:t>
      </w:r>
    </w:p>
    <w:p w:rsidR="00CB7A1F" w:rsidRDefault="00CB7A1F" w:rsidP="00CB7A1F">
      <w:pPr>
        <w:pStyle w:val="Normal1"/>
        <w:numPr>
          <w:ilvl w:val="0"/>
          <w:numId w:val="12"/>
        </w:numPr>
      </w:pPr>
      <w:r>
        <w:t>-Resoluciones del Ministerio de Salud de la Nación Nº 1508/2015 y 1509/2015</w:t>
      </w:r>
      <w:r>
        <w:br/>
      </w:r>
      <w:hyperlink r:id="rId9">
        <w:r>
          <w:rPr>
            <w:color w:val="1155CC"/>
            <w:u w:val="single"/>
          </w:rPr>
          <w:t>http://marisaaizenberg.blogspot.com.ar/2015/09/texto-de-las-ultimas-resoluciones-del.html</w:t>
        </w:r>
      </w:hyperlink>
    </w:p>
    <w:p w:rsidR="00CB7A1F" w:rsidRDefault="00CB7A1F" w:rsidP="00CB7A1F">
      <w:pPr>
        <w:pStyle w:val="Normal1"/>
        <w:numPr>
          <w:ilvl w:val="0"/>
          <w:numId w:val="12"/>
        </w:numPr>
      </w:pPr>
      <w:r>
        <w:t xml:space="preserve">-Sociedad Internacional de Transfusión de Sangre (SITS) – “Código de Ética para la Donación y Transfusión de Sangre”, en Organización Panamericana de la Salud “Elegibilidad para la </w:t>
      </w:r>
      <w:bookmarkStart w:id="0" w:name="_GoBack"/>
      <w:bookmarkEnd w:id="0"/>
      <w:r>
        <w:t>Donación de Sangre: Recomendaciones para la Educación y la Selección de Donantes Potenciales de Sangre” Washington, D.C.: OPS, 2009. ANEXO.</w:t>
      </w:r>
    </w:p>
    <w:p w:rsidR="00CB7A1F" w:rsidRDefault="00CB7A1F" w:rsidP="00CB7A1F">
      <w:pPr>
        <w:pStyle w:val="Normal1"/>
        <w:numPr>
          <w:ilvl w:val="0"/>
          <w:numId w:val="12"/>
        </w:numPr>
      </w:pPr>
      <w:r>
        <w:t xml:space="preserve">-Organización Panamericana de la Salud. “Hagamos la Diferencia”. (2005). Módulos 2-3. Páginas 27-70. Disponible en </w:t>
      </w:r>
      <w:hyperlink r:id="rId10">
        <w:r w:rsidRPr="00CB7A1F">
          <w:rPr>
            <w:color w:val="1155CC"/>
            <w:u w:val="single"/>
          </w:rPr>
          <w:t xml:space="preserve"> http://www.aahi.org.ar/publicaciones/ops-oms/hagamos- la-diferencia-2005/</w:t>
        </w:r>
      </w:hyperlink>
    </w:p>
    <w:p w:rsidR="00CB7A1F" w:rsidRDefault="00CB7A1F" w:rsidP="00CB7A1F">
      <w:pPr>
        <w:pStyle w:val="Normal1"/>
        <w:numPr>
          <w:ilvl w:val="0"/>
          <w:numId w:val="12"/>
        </w:numPr>
      </w:pPr>
      <w:r>
        <w:t xml:space="preserve">-Elisabeth </w:t>
      </w:r>
      <w:proofErr w:type="spellStart"/>
      <w:r>
        <w:t>Noëlle-Neumann</w:t>
      </w:r>
      <w:proofErr w:type="spellEnd"/>
      <w:r>
        <w:t>. La espiral del silencio. Extraído de VV.AA</w:t>
      </w:r>
      <w:proofErr w:type="gramStart"/>
      <w:r>
        <w:t>..</w:t>
      </w:r>
      <w:proofErr w:type="gramEnd"/>
      <w:r>
        <w:t xml:space="preserve"> El nuevo espacio público, </w:t>
      </w:r>
      <w:proofErr w:type="spellStart"/>
      <w:r>
        <w:t>Gedisa</w:t>
      </w:r>
      <w:proofErr w:type="spellEnd"/>
      <w:r>
        <w:t>, Barcelona, 1992. y NOËLLENEUMANN, Elisabeth. La espiral del silencio.</w:t>
      </w:r>
    </w:p>
    <w:p w:rsidR="00CB7A1F" w:rsidRDefault="00CB7A1F" w:rsidP="00CB7A1F">
      <w:pPr>
        <w:pStyle w:val="Normal1"/>
        <w:numPr>
          <w:ilvl w:val="0"/>
          <w:numId w:val="12"/>
        </w:numPr>
      </w:pPr>
      <w:r>
        <w:t xml:space="preserve">Opinión pública: nuestra piel social, </w:t>
      </w:r>
      <w:proofErr w:type="spellStart"/>
      <w:r>
        <w:t>Paidós.Barcelona</w:t>
      </w:r>
      <w:proofErr w:type="spellEnd"/>
      <w:r>
        <w:t>, 1995 (capítulos 20</w:t>
      </w:r>
      <w:r w:rsidR="008B0BE8">
        <w:t>,21)</w:t>
      </w:r>
      <w:r>
        <w:t>.</w:t>
      </w:r>
    </w:p>
    <w:p w:rsidR="00DA25AD" w:rsidRDefault="00DA25AD" w:rsidP="00CB7A1F">
      <w:pPr>
        <w:pStyle w:val="Sinespaciado"/>
        <w:ind w:left="720"/>
        <w:jc w:val="both"/>
        <w:rPr>
          <w:rFonts w:ascii="Arial" w:hAnsi="Arial" w:cs="Arial"/>
          <w:b/>
        </w:rPr>
      </w:pPr>
    </w:p>
    <w:p w:rsidR="00721484" w:rsidRDefault="00721484" w:rsidP="006C69B4">
      <w:pPr>
        <w:pStyle w:val="Sinespaciado"/>
        <w:jc w:val="both"/>
        <w:rPr>
          <w:rFonts w:ascii="Arial" w:hAnsi="Arial" w:cs="Arial"/>
          <w:b/>
        </w:rPr>
      </w:pPr>
    </w:p>
    <w:p w:rsidR="00DA25AD" w:rsidRDefault="00F3293F" w:rsidP="006C69B4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DA25AD">
        <w:rPr>
          <w:rFonts w:ascii="Arial" w:hAnsi="Arial" w:cs="Arial"/>
          <w:b/>
        </w:rPr>
        <w:t>ibliografía de lectura optativa:</w:t>
      </w:r>
    </w:p>
    <w:p w:rsidR="00CB7A1F" w:rsidRDefault="00CB7A1F" w:rsidP="00CB7A1F">
      <w:pPr>
        <w:pStyle w:val="Normal1"/>
        <w:numPr>
          <w:ilvl w:val="0"/>
          <w:numId w:val="13"/>
        </w:numPr>
      </w:pPr>
      <w:r>
        <w:t>Plan Nacional de Sangre. Guías de trabajo de Promoción.</w:t>
      </w:r>
    </w:p>
    <w:p w:rsidR="00CB7A1F" w:rsidRDefault="00CB7A1F" w:rsidP="00CB7A1F">
      <w:pPr>
        <w:pStyle w:val="Normal1"/>
        <w:ind w:left="708"/>
      </w:pPr>
      <w:r>
        <w:t xml:space="preserve">Disponibles en: </w:t>
      </w:r>
      <w:hyperlink r:id="rId11" w:history="1">
        <w:r w:rsidRPr="00555329">
          <w:rPr>
            <w:rStyle w:val="Hipervnculo"/>
          </w:rPr>
          <w:t>http://www.msal.gov.ar/plan-nacionalsangre/index.php?option=com_content&amp;amp;view=article&amp;amp;id=324&amp;amp;Itemid=45</w:t>
        </w:r>
      </w:hyperlink>
    </w:p>
    <w:sectPr w:rsidR="00CB7A1F" w:rsidSect="00ED5D1E">
      <w:head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2FB" w:rsidRDefault="004912FB" w:rsidP="0004580F">
      <w:r>
        <w:separator/>
      </w:r>
    </w:p>
  </w:endnote>
  <w:endnote w:type="continuationSeparator" w:id="1">
    <w:p w:rsidR="004912FB" w:rsidRDefault="004912FB" w:rsidP="00045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2FB" w:rsidRDefault="004912FB" w:rsidP="0004580F">
      <w:r>
        <w:separator/>
      </w:r>
    </w:p>
  </w:footnote>
  <w:footnote w:type="continuationSeparator" w:id="1">
    <w:p w:rsidR="004912FB" w:rsidRDefault="004912FB" w:rsidP="00045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0F" w:rsidRDefault="002E410F">
    <w:pPr>
      <w:pStyle w:val="Encabezado"/>
    </w:pPr>
    <w:r w:rsidRPr="002E410F">
      <w:rPr>
        <w:noProof/>
        <w:lang w:eastAsia="es-AR"/>
      </w:rPr>
      <w:drawing>
        <wp:inline distT="0" distB="0" distL="0" distR="0">
          <wp:extent cx="5400040" cy="1373992"/>
          <wp:effectExtent l="19050" t="0" r="0" b="0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73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4F2"/>
    <w:multiLevelType w:val="hybridMultilevel"/>
    <w:tmpl w:val="B2B41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46860"/>
    <w:multiLevelType w:val="hybridMultilevel"/>
    <w:tmpl w:val="E8801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F6E76"/>
    <w:multiLevelType w:val="hybridMultilevel"/>
    <w:tmpl w:val="CB041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C390E"/>
    <w:multiLevelType w:val="hybridMultilevel"/>
    <w:tmpl w:val="5320576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3872A2"/>
    <w:multiLevelType w:val="hybridMultilevel"/>
    <w:tmpl w:val="571E88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606CC6"/>
    <w:multiLevelType w:val="hybridMultilevel"/>
    <w:tmpl w:val="5BA09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C2FBE"/>
    <w:multiLevelType w:val="hybridMultilevel"/>
    <w:tmpl w:val="C024B91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27E98"/>
    <w:multiLevelType w:val="hybridMultilevel"/>
    <w:tmpl w:val="CB6A4B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05FBC"/>
    <w:multiLevelType w:val="hybridMultilevel"/>
    <w:tmpl w:val="A84607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B225B"/>
    <w:multiLevelType w:val="hybridMultilevel"/>
    <w:tmpl w:val="887EF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9204D"/>
    <w:multiLevelType w:val="hybridMultilevel"/>
    <w:tmpl w:val="D3A60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A7C9E"/>
    <w:multiLevelType w:val="hybridMultilevel"/>
    <w:tmpl w:val="AEF0B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960B9"/>
    <w:multiLevelType w:val="hybridMultilevel"/>
    <w:tmpl w:val="A904A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F08BF"/>
    <w:rsid w:val="00024F68"/>
    <w:rsid w:val="00032510"/>
    <w:rsid w:val="00044975"/>
    <w:rsid w:val="0004580F"/>
    <w:rsid w:val="00045B3B"/>
    <w:rsid w:val="00076057"/>
    <w:rsid w:val="000B583D"/>
    <w:rsid w:val="000B7884"/>
    <w:rsid w:val="000E4E71"/>
    <w:rsid w:val="000F3622"/>
    <w:rsid w:val="0011221A"/>
    <w:rsid w:val="001221AE"/>
    <w:rsid w:val="00181451"/>
    <w:rsid w:val="001B1E40"/>
    <w:rsid w:val="001B2873"/>
    <w:rsid w:val="001B35C9"/>
    <w:rsid w:val="001C44FE"/>
    <w:rsid w:val="001D3032"/>
    <w:rsid w:val="002008CB"/>
    <w:rsid w:val="00216036"/>
    <w:rsid w:val="002846BD"/>
    <w:rsid w:val="002A3AEF"/>
    <w:rsid w:val="002C69FF"/>
    <w:rsid w:val="002C761C"/>
    <w:rsid w:val="002D0BBB"/>
    <w:rsid w:val="002E410F"/>
    <w:rsid w:val="002F1937"/>
    <w:rsid w:val="00300B26"/>
    <w:rsid w:val="00311159"/>
    <w:rsid w:val="00370F02"/>
    <w:rsid w:val="003735AB"/>
    <w:rsid w:val="0038116E"/>
    <w:rsid w:val="003938C5"/>
    <w:rsid w:val="003B0956"/>
    <w:rsid w:val="003B20B1"/>
    <w:rsid w:val="003B340E"/>
    <w:rsid w:val="003C60EE"/>
    <w:rsid w:val="003E3718"/>
    <w:rsid w:val="004142F3"/>
    <w:rsid w:val="00421BE1"/>
    <w:rsid w:val="00422D82"/>
    <w:rsid w:val="004233EB"/>
    <w:rsid w:val="004340F4"/>
    <w:rsid w:val="0044185C"/>
    <w:rsid w:val="00457631"/>
    <w:rsid w:val="004904BF"/>
    <w:rsid w:val="004912FB"/>
    <w:rsid w:val="004A47E0"/>
    <w:rsid w:val="004B32E8"/>
    <w:rsid w:val="004B4D8C"/>
    <w:rsid w:val="004C5EF8"/>
    <w:rsid w:val="00521B33"/>
    <w:rsid w:val="00534FC5"/>
    <w:rsid w:val="00583D10"/>
    <w:rsid w:val="005D497A"/>
    <w:rsid w:val="0061012D"/>
    <w:rsid w:val="00611AED"/>
    <w:rsid w:val="00612317"/>
    <w:rsid w:val="00637594"/>
    <w:rsid w:val="00665038"/>
    <w:rsid w:val="00697B3C"/>
    <w:rsid w:val="00697BBE"/>
    <w:rsid w:val="006A33D9"/>
    <w:rsid w:val="006B123B"/>
    <w:rsid w:val="006B78E1"/>
    <w:rsid w:val="006C69B4"/>
    <w:rsid w:val="006D3B2F"/>
    <w:rsid w:val="006E6CE8"/>
    <w:rsid w:val="006F131A"/>
    <w:rsid w:val="00701C1D"/>
    <w:rsid w:val="00721484"/>
    <w:rsid w:val="00734662"/>
    <w:rsid w:val="00740D5C"/>
    <w:rsid w:val="007448B4"/>
    <w:rsid w:val="007562F7"/>
    <w:rsid w:val="007647A6"/>
    <w:rsid w:val="007654CB"/>
    <w:rsid w:val="00772BAD"/>
    <w:rsid w:val="007926A8"/>
    <w:rsid w:val="0079315F"/>
    <w:rsid w:val="00795993"/>
    <w:rsid w:val="007C01B2"/>
    <w:rsid w:val="007C7C9F"/>
    <w:rsid w:val="007E175F"/>
    <w:rsid w:val="007E3757"/>
    <w:rsid w:val="007E7511"/>
    <w:rsid w:val="00802162"/>
    <w:rsid w:val="00827EC2"/>
    <w:rsid w:val="008352D4"/>
    <w:rsid w:val="00845AE8"/>
    <w:rsid w:val="008653CE"/>
    <w:rsid w:val="00880FB3"/>
    <w:rsid w:val="00896586"/>
    <w:rsid w:val="008B0BE8"/>
    <w:rsid w:val="008C1766"/>
    <w:rsid w:val="008C3E5D"/>
    <w:rsid w:val="008F67FF"/>
    <w:rsid w:val="00920175"/>
    <w:rsid w:val="009227FF"/>
    <w:rsid w:val="0094283B"/>
    <w:rsid w:val="00947C88"/>
    <w:rsid w:val="00957E1C"/>
    <w:rsid w:val="00976C07"/>
    <w:rsid w:val="00986BCE"/>
    <w:rsid w:val="00994DFE"/>
    <w:rsid w:val="009A5174"/>
    <w:rsid w:val="009A68D4"/>
    <w:rsid w:val="009B224D"/>
    <w:rsid w:val="009E4DC3"/>
    <w:rsid w:val="009F1DB1"/>
    <w:rsid w:val="00A1075C"/>
    <w:rsid w:val="00A42A4A"/>
    <w:rsid w:val="00A679F1"/>
    <w:rsid w:val="00A909F9"/>
    <w:rsid w:val="00AA4E9E"/>
    <w:rsid w:val="00AD739E"/>
    <w:rsid w:val="00B26BF6"/>
    <w:rsid w:val="00B31C3C"/>
    <w:rsid w:val="00B421A4"/>
    <w:rsid w:val="00B441E8"/>
    <w:rsid w:val="00B4727F"/>
    <w:rsid w:val="00B67CF6"/>
    <w:rsid w:val="00B8434B"/>
    <w:rsid w:val="00B939AE"/>
    <w:rsid w:val="00BC170F"/>
    <w:rsid w:val="00BD3A46"/>
    <w:rsid w:val="00BF1AC2"/>
    <w:rsid w:val="00C164B8"/>
    <w:rsid w:val="00C43CF2"/>
    <w:rsid w:val="00C442F2"/>
    <w:rsid w:val="00CB64F8"/>
    <w:rsid w:val="00CB7A1F"/>
    <w:rsid w:val="00CC06CB"/>
    <w:rsid w:val="00CC5C68"/>
    <w:rsid w:val="00CC7F8D"/>
    <w:rsid w:val="00CE2EE0"/>
    <w:rsid w:val="00CE4008"/>
    <w:rsid w:val="00D03DFD"/>
    <w:rsid w:val="00D07B41"/>
    <w:rsid w:val="00D259F0"/>
    <w:rsid w:val="00D27B60"/>
    <w:rsid w:val="00D50CBE"/>
    <w:rsid w:val="00D66E42"/>
    <w:rsid w:val="00D83927"/>
    <w:rsid w:val="00DA25AD"/>
    <w:rsid w:val="00DA2F7A"/>
    <w:rsid w:val="00DB112B"/>
    <w:rsid w:val="00DB5DF7"/>
    <w:rsid w:val="00DE55D5"/>
    <w:rsid w:val="00DF08BF"/>
    <w:rsid w:val="00DF53D4"/>
    <w:rsid w:val="00E3520F"/>
    <w:rsid w:val="00E635E2"/>
    <w:rsid w:val="00E82C82"/>
    <w:rsid w:val="00E84D40"/>
    <w:rsid w:val="00EB7036"/>
    <w:rsid w:val="00ED5D1E"/>
    <w:rsid w:val="00EE3FD9"/>
    <w:rsid w:val="00EE5A41"/>
    <w:rsid w:val="00F3293F"/>
    <w:rsid w:val="00F37FC0"/>
    <w:rsid w:val="00F57A9D"/>
    <w:rsid w:val="00F83C92"/>
    <w:rsid w:val="00FA50CF"/>
    <w:rsid w:val="00FC49AB"/>
    <w:rsid w:val="00FE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57631"/>
    <w:rPr>
      <w:rFonts w:ascii="Times New Roman" w:eastAsia="Times New Roman" w:hAnsi="Times New Roman"/>
      <w:lang w:val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457631"/>
    <w:pPr>
      <w:keepNext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57631"/>
    <w:rPr>
      <w:rFonts w:ascii="Times New Roman" w:hAnsi="Times New Roman" w:cs="Times New Roman"/>
      <w:b/>
      <w:sz w:val="20"/>
      <w:szCs w:val="20"/>
      <w:lang w:val="es-AR" w:eastAsia="es-ES"/>
    </w:rPr>
  </w:style>
  <w:style w:type="paragraph" w:styleId="Sinespaciado">
    <w:name w:val="No Spacing"/>
    <w:link w:val="SinespaciadoCar"/>
    <w:uiPriority w:val="1"/>
    <w:qFormat/>
    <w:rsid w:val="00DF08BF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rsid w:val="00457631"/>
    <w:pPr>
      <w:jc w:val="both"/>
    </w:pPr>
    <w:rPr>
      <w:sz w:val="28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457631"/>
    <w:rPr>
      <w:rFonts w:ascii="Times New Roman" w:hAnsi="Times New Roman" w:cs="Times New Roman"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rsid w:val="000458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rsid w:val="000458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table" w:styleId="Tablaconcuadrcula">
    <w:name w:val="Table Grid"/>
    <w:basedOn w:val="Tablanormal"/>
    <w:uiPriority w:val="99"/>
    <w:rsid w:val="00A10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2008C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Calendar2">
    <w:name w:val="Calendar 2"/>
    <w:uiPriority w:val="99"/>
    <w:rsid w:val="00AA4E9E"/>
    <w:pPr>
      <w:jc w:val="center"/>
    </w:pPr>
    <w:rPr>
      <w:rFonts w:eastAsia="Times New Roman"/>
      <w:sz w:val="28"/>
      <w:szCs w:val="28"/>
      <w:lang w:val="en-US"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99"/>
    <w:qFormat/>
    <w:rsid w:val="00772BAD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99"/>
    <w:semiHidden/>
    <w:rsid w:val="00772BAD"/>
    <w:pPr>
      <w:spacing w:after="1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1">
    <w:name w:val="toc 1"/>
    <w:basedOn w:val="Normal"/>
    <w:next w:val="Normal"/>
    <w:autoRedefine/>
    <w:uiPriority w:val="99"/>
    <w:semiHidden/>
    <w:rsid w:val="00772BAD"/>
    <w:pPr>
      <w:spacing w:after="1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99"/>
    <w:semiHidden/>
    <w:rsid w:val="00772BAD"/>
    <w:pPr>
      <w:spacing w:after="1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72B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72BAD"/>
    <w:rPr>
      <w:rFonts w:ascii="Tahoma" w:hAnsi="Tahoma" w:cs="Tahoma"/>
      <w:sz w:val="16"/>
      <w:szCs w:val="16"/>
      <w:lang w:val="es-AR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D5D1E"/>
    <w:rPr>
      <w:sz w:val="22"/>
      <w:szCs w:val="22"/>
      <w:lang w:val="es-ES" w:eastAsia="en-US" w:bidi="ar-SA"/>
    </w:rPr>
  </w:style>
  <w:style w:type="paragraph" w:customStyle="1" w:styleId="Normal1">
    <w:name w:val="Normal1"/>
    <w:rsid w:val="00CB7A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B7A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57631"/>
    <w:rPr>
      <w:rFonts w:ascii="Times New Roman" w:eastAsia="Times New Roman" w:hAnsi="Times New Roman"/>
      <w:lang w:val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457631"/>
    <w:pPr>
      <w:keepNext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57631"/>
    <w:rPr>
      <w:rFonts w:ascii="Times New Roman" w:hAnsi="Times New Roman" w:cs="Times New Roman"/>
      <w:b/>
      <w:sz w:val="20"/>
      <w:szCs w:val="20"/>
      <w:lang w:val="es-AR" w:eastAsia="es-ES"/>
    </w:rPr>
  </w:style>
  <w:style w:type="paragraph" w:styleId="Sinespaciado">
    <w:name w:val="No Spacing"/>
    <w:link w:val="SinespaciadoCar"/>
    <w:uiPriority w:val="1"/>
    <w:qFormat/>
    <w:rsid w:val="00DF08BF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rsid w:val="00457631"/>
    <w:pPr>
      <w:jc w:val="both"/>
    </w:pPr>
    <w:rPr>
      <w:sz w:val="28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457631"/>
    <w:rPr>
      <w:rFonts w:ascii="Times New Roman" w:hAnsi="Times New Roman" w:cs="Times New Roman"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rsid w:val="000458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rsid w:val="000458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table" w:styleId="Tablaconcuadrcula">
    <w:name w:val="Table Grid"/>
    <w:basedOn w:val="Tablanormal"/>
    <w:uiPriority w:val="99"/>
    <w:rsid w:val="00A10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2008C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Calendar2">
    <w:name w:val="Calendar 2"/>
    <w:uiPriority w:val="99"/>
    <w:rsid w:val="00AA4E9E"/>
    <w:pPr>
      <w:jc w:val="center"/>
    </w:pPr>
    <w:rPr>
      <w:rFonts w:eastAsia="Times New Roman"/>
      <w:sz w:val="28"/>
      <w:szCs w:val="28"/>
      <w:lang w:val="en-US"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99"/>
    <w:qFormat/>
    <w:rsid w:val="00772BAD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99"/>
    <w:semiHidden/>
    <w:rsid w:val="00772BAD"/>
    <w:pPr>
      <w:spacing w:after="1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1">
    <w:name w:val="toc 1"/>
    <w:basedOn w:val="Normal"/>
    <w:next w:val="Normal"/>
    <w:autoRedefine/>
    <w:uiPriority w:val="99"/>
    <w:semiHidden/>
    <w:rsid w:val="00772BAD"/>
    <w:pPr>
      <w:spacing w:after="1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99"/>
    <w:semiHidden/>
    <w:rsid w:val="00772BAD"/>
    <w:pPr>
      <w:spacing w:after="1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72B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72BAD"/>
    <w:rPr>
      <w:rFonts w:ascii="Tahoma" w:hAnsi="Tahoma" w:cs="Tahoma"/>
      <w:sz w:val="16"/>
      <w:szCs w:val="16"/>
      <w:lang w:val="es-AR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D5D1E"/>
    <w:rPr>
      <w:sz w:val="22"/>
      <w:szCs w:val="22"/>
      <w:lang w:val="es-ES" w:eastAsia="en-US" w:bidi="ar-SA"/>
    </w:rPr>
  </w:style>
  <w:style w:type="paragraph" w:customStyle="1" w:styleId="Normal1">
    <w:name w:val="Normal1"/>
    <w:rsid w:val="00CB7A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B7A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leg.mecon.gov.ar/infolegInternet/anexos/45000-49999/49103/norma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al.gov.ar/plan-nacionalsangre/index.php?option=com_content&amp;amp;view=article&amp;amp;id=324&amp;amp;Itemid=45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ahi.org.ar/publicaciones/ops-oms/hagamos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isaaizenberg.blogspot.com.ar/2015/09/texto-de-las-ultimas-resoluciones-del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C97BC-FB94-432C-BBC3-CD0598B6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Ecocardiográfia y Doppler Cardiovascular</vt:lpstr>
    </vt:vector>
  </TitlesOfParts>
  <Company>Universidad de Buenos Aires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Ecocardiográfia y Doppler Cardiovascular</dc:title>
  <dc:subject>Carrera de Técnicos en Prácticas Cardiológicas</dc:subject>
  <dc:creator>Universidad de Buenos Aires – Facultad de Medicina</dc:creator>
  <cp:lastModifiedBy>tecnicatura1</cp:lastModifiedBy>
  <cp:revision>2</cp:revision>
  <cp:lastPrinted>2018-06-12T12:26:00Z</cp:lastPrinted>
  <dcterms:created xsi:type="dcterms:W3CDTF">2018-06-12T12:27:00Z</dcterms:created>
  <dcterms:modified xsi:type="dcterms:W3CDTF">2018-06-12T12:27:00Z</dcterms:modified>
</cp:coreProperties>
</file>